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); words</w:t>
        <w:br/>
        <w:t>(trend, bias, signal, regime, Bull/Bear horizon and counts) compare exactly.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or a </w:t>
      </w:r>
      <w:r>
        <w:rPr>
          <w:b/>
        </w:rPr>
        <w:t>withheld</w:t>
      </w:r>
      <w:r>
        <w:rPr/>
        <w:t xml:space="preserve"> reply (a fact dropped or</w:t>
        <w:br/>
        <w:t>reworded, a wrong sector count, a credit spread tied to the wrong direction, or a</w:t>
        <w:br/>
        <w:t>cut-off reply with no complete sentence) publishes nothing — the last good</w:t>
        <w:br/>
        <w:t>sentence stays — but still counts toward the gap and the cap, and the same</w:t>
        <w:br/>
        <w:t>readings are retried once the gap has passed.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