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2026-06-21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rotation.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gamma, calculator, simulator, expected move.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Morning order-approval pipeline.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iv_adjustment=0)</w:t>
      </w:r>
      <w:r>
        <w:rPr/>
        <w:br/>
        <w:t>re-prices every leg via Black-Scholes at each (price point × evaluation date) and</w:t>
        <w:br/>
        <w:t xml:space="preserve">sums P&amp;L into the grid that drives the Calculator heat map.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>shifts IV at every point for shock scenarios.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 xml:space="preserve">) — freezes time </w:t>
      </w:r>
      <w:r>
        <w:rPr>
          <w:rFonts w:ascii="Consolas" w:hAnsi="Consolas"/>
          <w:color w:val="334455"/>
          <w:sz w:val="19"/>
        </w:rPr>
        <w:t>days_elapsed</w:t>
      </w:r>
      <w:r>
        <w:t xml:space="preserve"> forward and sweeps an</w:t>
        <w:br/>
        <w:t xml:space="preserve">  81-point ±20% price range, decomposing P&amp;L by Delta/Gamma/Theta/Vega.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contract at base IV vs </w:t>
      </w:r>
      <w:r>
        <w:rPr>
          <w:rFonts w:ascii="Consolas" w:hAnsi="Consolas"/>
          <w:color w:val="334455"/>
          <w:sz w:val="19"/>
        </w:rPr>
        <w:t>IV × mult</w:t>
      </w:r>
      <w:r>
        <w:t>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contract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RRG windows</w:t>
            </w:r>
          </w:p>
        </w:tc>
        <w:tc>
          <w:tcPr>
            <w:tcW w:type="dxa" w:w="2880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HV window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>Composite refresh every 120 s; trend recompute gated to 15 min;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Auto-scan 15-min slots (08:00–15:15 CT); GEX collect 2-min slots (08:30–15:20 CT); paper auto-manage every 5 min in market hours; header tick each 30 s (skip-unchanged).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>Live SSE ticks; throttled publish ≤ every 2 s; full rebuild every 10 min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>Morning run once/day at 09:28 ET; perf refresh ≈ every 5 min.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