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Twenty-one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Net Prem, the two Premium Divergence</w:t>
        <w:br/>
        <w:t>screens, and eight Dealer Positioning boards: Gamma for $SPX, SPY and QQQ, and</w:t>
        <w:br/>
        <w:t xml:space="preserve">Charm, DEX, Vanna and Term Structure for $SPX, and the </w:t>
      </w:r>
      <w:r>
        <w:rPr>
          <w:b/>
        </w:rPr>
        <w:t>Strategy Finder</w:t>
      </w:r>
      <w:r>
        <w:rPr/>
        <w:t>.</w:t>
        <w:br/>
        <w:t>Each one shows the same scrolling market-summary ticker along the bottom that</w:t>
        <w:br/>
        <w:t>your own app does.</w:t>
      </w:r>
    </w:p>
    <w:p>
      <w:r>
        <w:rPr/>
        <w:t>The public Strategy Finder is the one screen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one thing — a request for a public</w:t>
        <w:br/>
        <w:t xml:space="preserve">  Strategy Finder scan, which the options service answers separately from your</w:t>
        <w:br/>
        <w:t xml:space="preserve">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