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Claude Trades</w:t>
            </w:r>
          </w:p>
        </w:tc>
        <w:tc>
          <w:tcPr>
            <w:tcW w:type="dxa" w:w="4320"/>
            <w:shd w:val="clear" w:color="auto" w:fill="F4F6FA"/>
          </w:tcPr>
          <w:p>
            <w:r/>
            <w:r>
              <w:rPr/>
              <w:t xml:space="preserve">Its risk clamping is pure code, not a formula — see the </w:t>
            </w:r>
            <w:r>
              <w:rPr>
                <w:i/>
              </w:rPr>
              <w:t>API / Developer Reference</w:t>
            </w:r>
            <w:r>
              <w:rPr/>
              <w:t xml:space="preserve">, </w:t>
            </w:r>
            <w:r>
              <w:rPr>
                <w:b/>
              </w:rPr>
              <w:t>Driver service</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