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The whole collection window,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(the open, or</w:t>
        <w:br/>
        <w:t xml:space="preserve">  the first fetch after a restart);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tick of each contract after every (re)connect.</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Nothing here</w:t>
        <w:br/>
        <w:t>changes a 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Unmeasured:</w:t>
      </w:r>
      <w:r>
        <w:t xml:space="preserve">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Flow: opened or closed (next day)</w:t>
            </w:r>
          </w:p>
        </w:tc>
        <w:tc>
          <w:tcPr>
            <w:tcW w:type="dxa" w:w="2880"/>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