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2026-06-21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Terminate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navigation drawer</w:t>
      </w:r>
      <w:r>
        <w:t xml:space="preserve"> with expandable groups and flat items.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(expandable)</w:t>
            </w:r>
          </w:p>
        </w:tc>
        <w:tc>
          <w:tcPr>
            <w:tcW w:type="dxa" w:w="4320"/>
          </w:tcPr>
          <w:p>
            <w:r/>
            <w:r>
              <w:rPr/>
              <w:t>Scanner · Paper Trades · Captured Signals · Paper Portfolio · Calculator · Swing Scanner · Gamma · Simulator · Expected Move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Sentiment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Sentiment · Sector Rotation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(flat)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Portfolio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Driver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System Status · Settings · Terminate</w:t>
            </w:r>
          </w:p>
        </w:tc>
      </w:tr>
    </w:tbl>
    <w:p/>
    <w:p>
      <w:r>
        <w:rPr/>
        <w:t>The group containing the page you're on opens automatically, and the drawer</w:t>
        <w:br/>
        <w:t>remembers which groups you left open as you move around.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Scanner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Swing Scanner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Scanner.</w:t>
      </w:r>
    </w:p>
    <w:p>
      <w:pPr>
        <w:pStyle w:val="Heading2"/>
      </w:pPr>
      <w:r>
        <w:rPr/>
        <w:t>Calculator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>An options P&amp;L calculator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PCS (put credit spread), CCS (call credit spread), IC (iron</w:t>
        <w:br/>
        <w:t xml:space="preserve">  condor), LONG_PUT, NAKED_PUT, LONG_CALL, NAKED_CALL.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leg section</w:t>
      </w:r>
      <w:r>
        <w:t xml:space="preserve"> that adapts to the strategy: for each leg, pick a </w:t>
      </w:r>
      <w:r>
        <w:rPr>
          <w:b/>
        </w:rPr>
        <w:t>Strike</w:t>
      </w:r>
      <w:r>
        <w:br/>
        <w:t xml:space="preserve">  and enter (or </w:t>
      </w:r>
      <w:r>
        <w:rPr>
          <w:b/>
        </w:rPr>
        <w:t>Fetch</w:t>
      </w:r>
      <w:r>
        <w:t xml:space="preserve">) a </w:t>
      </w:r>
      <w:r>
        <w:rPr>
          <w:b/>
        </w:rPr>
        <w:t>Premium</w:t>
      </w:r>
      <w:r>
        <w:t>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>pre-filled and the calculation runs automatically.</w:t>
      </w:r>
    </w:p>
    <w:p>
      <w:pPr>
        <w:pStyle w:val="Heading2"/>
      </w:pPr>
      <w:r>
        <w:rPr/>
        <w:t>Gamma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>Re-prices a single option contract under different scenarios using Black-Scholes.</w:t>
        <w:br/>
        <w:t xml:space="preserve">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 choose a</w:t>
        <w:br/>
        <w:t xml:space="preserve">contract with the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Kind</w:t>
      </w:r>
      <w:r>
        <w:rPr/>
        <w:t xml:space="preserve"> (call/put), </w:t>
      </w:r>
      <w:r>
        <w:rPr>
          <w:b/>
        </w:rPr>
        <w:t>Strike</w:t>
      </w:r>
      <w:r>
        <w:rPr/>
        <w:t xml:space="preserve">, and </w:t>
      </w:r>
      <w:r>
        <w:rPr>
          <w:b/>
        </w:rPr>
        <w:t>Direction</w:t>
      </w:r>
      <w:r>
        <w:rPr/>
        <w:br/>
        <w:t>(buy/sell) selectors.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contract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(days forward) that re-prices the contract; an IV-shock comparison bar</w:t>
        <w:br/>
        <w:t xml:space="preserve"> 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contract at base IV vs</w:t>
        <w:br/>
        <w:t xml:space="preserve">  shocked IV across Price, Delta, Gamma, Theta, and Vega.</w:t>
      </w:r>
    </w:p>
    <w:p>
      <w:pPr>
        <w:pStyle w:val="Heading2"/>
      </w:pPr>
      <w:r>
        <w:rPr/>
        <w:t>Expected Move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They appear in the at-risk table and get a</w:t>
        <w:br/>
        <w:t>full candidate menu, but they have no Apply button — there's no paper position to</w:t>
        <w:br/>
        <w:t>mutate. Use the menu as guidance and place the adjustment yourself.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Scanner, Swing, Paper Trades,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t xml:space="preserve"> (months+) —</w:t>
        <w:br/>
        <w:t xml:space="preserve">  each showing a Buy / Hold / Sell verdict (color-coded), a score, the top reasons,</w:t>
        <w:br/>
        <w:t xml:space="preserve">  any hard "gates" that fired, and an expandable factor breakdown.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Heading2"/>
      </w:pPr>
      <w:r>
        <w:rPr/>
        <w:t>Terminate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Gamma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