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2026-10-10</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read</w:t>
            </w:r>
            <w:r>
              <w:rPr/>
              <w:t xml:space="preserve"> (button, top right)</w:t>
            </w:r>
          </w:p>
        </w:tc>
        <w:tc>
          <w:tcPr>
            <w:tcW w:type="dxa" w:w="4320"/>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shd w:val="clear" w:color="auto" w:fill="F4F6FA"/>
          </w:tcPr>
          <w:p>
            <w:r/>
            <w:r>
              <w:rPr>
                <w:b/>
              </w:rPr>
              <w:t>Market report</w:t>
            </w:r>
            <w:r>
              <w:rPr/>
              <w:t xml:space="preserve"> (button, top right)</w:t>
            </w:r>
          </w:p>
        </w:tc>
        <w:tc>
          <w:tcPr>
            <w:tcW w:type="dxa" w:w="4320"/>
            <w:shd w:val="clear" w:color="auto" w:fill="F4F6FA"/>
          </w:tcPr>
          <w:p>
            <w:r/>
            <w:r>
              <w:rPr/>
              <w:t>Opens the latest published market report, in full, in a popup. Which report it is sits beside the button</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