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5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processes, the three tiers and what each one talks to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classification{}</w:t>
            </w:r>
            <w:r>
              <w:rPr/>
              <w:t xml:space="preserve"> (optional: </w:t>
            </w:r>
            <w:r>
              <w:rPr>
                <w:rFonts w:ascii="Consolas" w:hAnsi="Consolas"/>
                <w:color w:val="334455"/>
                <w:sz w:val="19"/>
              </w:rPr>
              <w:t>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sub_industry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industry_rank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leaders[]</w:t>
            </w:r>
            <w:r>
              <w:rPr/>
              <w:t xml:space="preserve"> of </w:t>
            </w:r>
            <w:r>
              <w:rPr>
                <w:rFonts w:ascii="Consolas" w:hAnsi="Consolas"/>
                <w:color w:val="334455"/>
                <w:sz w:val="19"/>
              </w:rPr>
              <w:t>{rank, symbol, name, market_cap}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the listed-stocks file does not list),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>, the report itself, which the Desk frames in a dialog; the version changes with the report and is omitted when the stamp is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GEX collection and the raw feed.</w:t>
      </w:r>
      <w:r>
        <w:rPr/>
        <w:t xml:space="preserve"> Each one-minute poll is</w:t>
        <w:br/>
      </w:r>
      <w:r>
        <w:rPr>
          <w:rFonts w:ascii="Consolas" w:hAnsi="Consolas"/>
          <w:color w:val="334455"/>
          <w:sz w:val="19"/>
        </w:rPr>
        <w:t>gex_collector.fetch_minute</w:t>
      </w:r>
      <w:r>
        <w:rPr/>
        <w:t xml:space="preserve"> (the chains, through the proxy) then </w:t>
      </w:r>
      <w:r>
        <w:rPr>
          <w:rFonts w:ascii="Consolas" w:hAnsi="Consolas"/>
          <w:color w:val="334455"/>
          <w:sz w:val="19"/>
        </w:rPr>
        <w:t>derive_minute</w:t>
      </w:r>
      <w:r>
        <w:rPr/>
        <w:br/>
        <w:t xml:space="preserve">(the rows in </w:t>
      </w:r>
      <w:r>
        <w:rPr>
          <w:rFonts w:ascii="Consolas" w:hAnsi="Consolas"/>
          <w:color w:val="334455"/>
          <w:sz w:val="19"/>
        </w:rPr>
        <w:t>gex_history.db</w:t>
      </w:r>
      <w:r>
        <w:rPr/>
        <w:t xml:space="preserve">, priced at the minute). In </w:t>
      </w:r>
      <w:r>
        <w:rPr>
          <w:rFonts w:ascii="Consolas" w:hAnsi="Consolas"/>
          <w:color w:val="334455"/>
          <w:sz w:val="19"/>
        </w:rPr>
        <w:t>config/feed.toml</w:t>
      </w:r>
      <w:r>
        <w:rPr/>
        <w:br/>
      </w:r>
      <w:r>
        <w:rPr>
          <w:rFonts w:ascii="Consolas" w:hAnsi="Consolas"/>
          <w:color w:val="334455"/>
          <w:sz w:val="19"/>
        </w:rPr>
        <w:t>[feed] mode = "tee"</w:t>
      </w:r>
      <w:r>
        <w:rPr/>
        <w:t xml:space="preserve"> the fetched minute is also written to the raw chain store</w:t>
        <w:br/>
        <w:t>(</w:t>
      </w:r>
      <w:r>
        <w:rPr>
          <w:rFonts w:ascii="Consolas" w:hAnsi="Consolas"/>
          <w:color w:val="334455"/>
          <w:sz w:val="19"/>
        </w:rPr>
        <w:t>shared/raw_store.py</w:t>
      </w:r>
      <w:r>
        <w:rPr/>
        <w:t xml:space="preserve">: one SQLite file per session, tables </w:t>
      </w:r>
      <w:r>
        <w:rPr>
          <w:rFonts w:ascii="Consolas" w:hAnsi="Consolas"/>
          <w:color w:val="334455"/>
          <w:sz w:val="19"/>
        </w:rPr>
        <w:t>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minutes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gaps</w:t>
      </w:r>
      <w:r>
        <w:rPr/>
        <w:t>), and a shadow check re-derives it and publishes its counts and timings to</w:t>
        <w:br/>
      </w:r>
      <w:r>
        <w:rPr>
          <w:rFonts w:ascii="Consolas" w:hAnsi="Consolas"/>
          <w:color w:val="334455"/>
          <w:sz w:val="19"/>
        </w:rPr>
        <w:t>cache:feed:shadow</w:t>
      </w:r>
      <w:r>
        <w:rPr/>
        <w:t xml:space="preserve">. It adds no Schwab call. The Technical Reference's </w:t>
      </w:r>
      <w:r>
        <w:rPr>
          <w:i/>
        </w:rPr>
        <w:t>The</w:t>
        <w:br/>
        <w:t>one-minute GEX collection and the raw feed</w:t>
      </w:r>
      <w:r>
        <w:rPr/>
        <w:t xml:space="preserve"> has the diagrams and fields.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ute-col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one-minute collection today, and what tee adds beside it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unknown); it counts down from 168 at the sign-in and a token refresh does not reset it.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/auth/info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{auth_url, callback_url}</w:t>
            </w:r>
            <w:r>
              <w:rPr/>
              <w:t xml:space="preserve"> — Schwab's login link for this app, for the web app's Authorize dialog. Carries the app key (a public client id), never the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/auth/exchange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/>
              <w:t xml:space="preserve">Body </w:t>
            </w:r>
            <w:r>
              <w:rPr>
                <w:rFonts w:ascii="Consolas" w:hAnsi="Consolas"/>
                <w:color w:val="334455"/>
                <w:sz w:val="19"/>
              </w:rPr>
              <w:t>{"url": "&lt;the address Schwab redirected to&gt;"}</w:t>
            </w:r>
            <w:r>
              <w:rPr/>
              <w:t xml:space="preserve">. Signs in and answers </w:t>
            </w:r>
            <w:r>
              <w:rPr>
                <w:rFonts w:ascii="Consolas" w:hAnsi="Consolas"/>
                <w:color w:val="334455"/>
                <w:sz w:val="19"/>
              </w:rPr>
              <w:t>{"ok": true}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{"ok": false, "error": ...}</w:t>
            </w:r>
            <w:r>
              <w:rPr/>
              <w:t xml:space="preserve"> with 400 when the address holds no code, 502 when Schwab refuses it. A POST so the one-time code is not in the access 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cache:feed:shadow                                           (config/feed.toml mode "tee" only: the shadow check's counts and timings)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7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es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One request, from a click to the repaint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