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</w:t>
      </w:r>
      <w:r>
        <w:rPr>
          <w:b/>
        </w:rPr>
        <w:t>Not in the probability.</w:t>
      </w:r>
      <w:r>
        <w:rPr/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roles}}}</w:t>
      </w:r>
      <w:r>
        <w:rPr/>
        <w:br/>
        <w:t xml:space="preserve"> 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outside 0..1. Every field has a default, so a payload Redis kept across a</w:t>
        <w:br/>
        <w:t>restart still validates.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dealer_line,</w:t>
        <w:br/>
        <w:t>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 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br/>
        <w:t xml:space="preserve">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</w:t>
        <w:br/>
        <w:t xml:space="preserve">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one</w:t>
        <w:br/>
        <w:t xml:space="preserve">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 (both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no</w:t>
        <w:br/>
        <w:t xml:space="preserve">component had a reading). </w:t>
      </w:r>
      <w:r>
        <w:rPr>
          <w:b/>
        </w:rPr>
        <w:t>It is not in the probability</w:t>
      </w:r>
      <w:r>
        <w:rPr/>
        <w:t xml:space="preserve"> and the page never prints the</w:t>
        <w:br/>
        <w:t xml:space="preserve">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 {with_room, of, share, verdict}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above_flip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 and the nightly top-up)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 xml:space="preserve">Six more tables hold the 15-minute calls.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walls, flip, net GEX, net premium levels, sentiment and flow counts for the symbol and the big ten).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