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2026-10-17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as its second line; it opens the reading as a popup, and it</w:t>
        <w:br/>
        <w:t>glows for five minutes after a new reading.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button's second line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 The button glows for five minutes after</w:t>
        <w:br/>
        <w:t>a new report is published.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 (the shipped colours; Settings → Appearance →</w:t>
        <w:br/>
        <w:t>Dealer Positioning 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frame, and the forward projection band is not drawn. Level movement</w:t>
        <w:br/>
        <w:t>works as it does in the Strike frame: off leaves one line per level at its distance</w:t>
        <w:br/>
        <w:t>from price now, on adds the path each level took.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/>
        <w:t xml:space="preserve">The four direction words also carry an arrow — </w:t>
      </w:r>
      <w:r>
        <w:rPr>
          <w:b/>
        </w:rPr>
        <w:t>▲</w:t>
      </w:r>
      <w:r>
        <w:rPr/>
        <w:t xml:space="preserve"> for Rallying and Firming, </w:t>
      </w:r>
      <w:r>
        <w:rPr>
          <w:b/>
        </w:rPr>
        <w:t>▼</w:t>
      </w:r>
      <w:r>
        <w:rPr/>
        <w:br/>
        <w:t>for Retreating and Softening — on the dial, the Desk's regime tile and the Symbol</w:t>
        <w:br/>
        <w:t xml:space="preserve">page. A plain </w:t>
      </w:r>
      <w:r>
        <w:rPr>
          <w:b/>
        </w:rPr>
        <w:t>Trending</w:t>
      </w:r>
      <w:r>
        <w:rPr/>
        <w:t xml:space="preserve"> says </w:t>
      </w:r>
      <w:r>
        <w:rPr>
          <w:b/>
        </w:rPr>
        <w:t>mixed</w:t>
      </w:r>
      <w:r>
        <w:rPr/>
        <w:t xml:space="preserve"> beside it instead: the tape is trending,</w:t>
        <w:br/>
        <w:t>but the two direction reads don't agree on which way. It never gets an arrow, because</w:t>
        <w:br/>
        <w:t>an arrow would have to pick one of the two reads that disagree.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the leading stocks of the symbol's industry, under a command bar shared by all four</w:t>
        <w:br/>
        <w:t>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is ringed</w:t>
        <w:br/>
        <w:t>in amber while your typing differs from what is on screen, and an emptied box reverts</w:t>
        <w:br/>
        <w:t xml:space="preserve">rather than clearing. The company name, the </w:t>
      </w:r>
      <w:r>
        <w:rPr>
          <w:b/>
        </w:rPr>
        <w:t>Sector</w:t>
      </w:r>
      <w:r>
        <w:rPr/>
        <w:t xml:space="preserve">, </w:t>
      </w:r>
      <w:r>
        <w:rPr>
          <w:b/>
        </w:rPr>
        <w:t>Industry</w:t>
      </w:r>
      <w:r>
        <w:rPr/>
        <w:t xml:space="preserve"> and</w:t>
        <w:br/>
      </w:r>
      <w:r>
        <w:rPr>
          <w:b/>
        </w:rPr>
        <w:t>Sub-industry</w:t>
      </w:r>
      <w:r>
        <w:rPr/>
        <w:t xml:space="preserve"> beside it, and every panel below, follow the committed symbol. Those</w:t>
        <w:br/>
        <w:t>three come from the server's list of US listed stocks, not from the model: a dash</w:t>
        <w:br/>
        <w:t>means the list has nothing for the symbol (a fund, an index).</w:t>
      </w:r>
    </w:p>
    <w:p>
      <w:r>
        <w:rPr>
          <w:b/>
        </w:rPr>
        <w:t>The last panel</w:t>
      </w:r>
      <w:r>
        <w:rPr/>
        <w:t xml:space="preserve"> names the symbol's industry and lists its top-ranked stocks, five</w:t>
        <w:br/>
        <w:t>by default, with the symbol's own place on the heading line. Use it to see who else</w:t>
        <w:br/>
        <w:t>is in the industry before settling on one name. The rank is popularity (dollar</w:t>
        <w:br/>
        <w:t>volume and market value, refreshed on Saturdays); the model's ranking of names</w:t>
        <w:br/>
        <w:t>against each other is the Rank Board.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status,</w:t>
        <w:br/>
        <w:t xml:space="preserve">including how long the 7-day sign-in has left, with a </w:t>
      </w:r>
      <w:r>
        <w:rPr>
          <w:b/>
        </w:rPr>
        <w:t>Re-authorize</w:t>
      </w:r>
      <w:r>
        <w:rPr/>
        <w:t xml:space="preserve"> button. The</w:t>
        <w:br/>
        <w:t>button opens a dialog in the app: log in at Schwab in a new tab, copy the address of</w:t>
        <w:br/>
        <w:t xml:space="preserve">the page Schwab then sends you to (it does not load), come back and press </w:t>
      </w:r>
      <w:r>
        <w:rPr>
          <w:b/>
        </w:rPr>
        <w:t>Paste and</w:t>
        <w:br/>
        <w:t>sign in</w:t>
      </w:r>
      <w:r>
        <w:rPr/>
        <w:t>. The web app hands that address to the gateway itself, so renewing the</w:t>
        <w:br/>
        <w:t>sign-in works from any browser signed in to the app, a phone's included, and needs no</w:t>
        <w:br/>
        <w:t xml:space="preserve">Tailscale. </w:t>
      </w:r>
      <w:r>
        <w:rPr>
          <w:rFonts w:ascii="Consolas" w:hAnsi="Consolas"/>
          <w:color w:val="334455"/>
          <w:sz w:val="19"/>
        </w:rPr>
        <w:t>/status?signin=1</w:t>
      </w:r>
      <w:r>
        <w:rPr/>
        <w:t xml:space="preserve"> opens the page with the dialog already open; it is the</w:t>
        <w:br/>
        <w:t>link the daily sign-in warning carries.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eight colours: the put and the call colour,</w:t>
        <w:br/>
        <w:t>which the bars, walls, gravity well, ridge plot and contour lines also use, and</w:t>
        <w:br/>
        <w:t>three more shades a side for the largest, middling and smallest values. The</w:t>
        <w:br/>
        <w:t xml:space="preserve">preview draws 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 (12 hours, or 30 days when </w:t>
      </w:r>
      <w:r>
        <w:rPr>
          <w:b/>
        </w:rPr>
        <w:t>Keep me signed in</w:t>
        <w:br/>
        <w:t>on this device for 30 days</w:t>
      </w:r>
      <w:r>
        <w:rPr/>
        <w:t xml:space="preserve"> was ticked at sign-in), and the </w:t>
      </w:r>
      <w:r>
        <w:rPr>
          <w:i/>
        </w:rPr>
        <w:t>trusted device</w:t>
      </w:r>
      <w:r>
        <w:rPr/>
        <w:t xml:space="preserve"> token —</w:t>
        <w:br/>
        <w:t>so the next sign-in on this machine asks for the password and the authenticator code</w:t>
        <w:br/>
        <w:t>again. That is the reason to use it on a borrowed or shared browser: a 30-day session</w:t>
        <w:br/>
        <w:t>left there is the app, for a month, to whoever sits down next.</w:t>
      </w:r>
    </w:p>
    <w:p>
      <w:r>
        <w:rPr/>
        <w:t>The sign-in's second step can also be a tap on your phone instead of the code: leave</w:t>
        <w:br/>
        <w:t>the code empty, and approve the number the page shows from the ntfy notification,</w:t>
        <w:br/>
        <w:t>inside the app on a phone that is already signed in. Setting it up is in the User</w:t>
        <w:br/>
        <w:t>Guide's sign-in section.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