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row of seven checkboxes, all ticked by default: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every newer structure except the calendar and diagonal (which</w:t>
        <w:br/>
        <w:t xml:space="preserve">  take two, below) sits on the </w:t>
      </w:r>
      <w:r>
        <w:rPr>
          <w:b/>
        </w:rPr>
        <w:t>nearest expiration at least 7 days out</w:t>
      </w:r>
      <w:r>
        <w:t xml:space="preserve"> inside your</w:t>
        <w:br/>
        <w:t xml:space="preserve">  DTE range: straddles, strangles, butterflies, the iron butterfly, condors and the</w:t>
        <w:br/>
        <w:t xml:space="preserve">  share structures. With DTE min at 0 none of them is built on a 0–6 day expiration,</w:t>
        <w:br/>
        <w:t xml:space="preserve">  and nothing needs widening for it — the floor applies by itself. A structure that</w:t>
        <w:br/>
        <w:t xml:space="preserve">  close to expiry is a same-day bet rather than the trade its name describes (an</w:t>
        <w:br/>
        <w:t xml:space="preserve">  operator decision). The Directional rows and the debit and credit spreads still take</w:t>
        <w:br/>
        <w:t xml:space="preserve">  the nearest expiration in the range.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the near expiration at least </w:t>
      </w:r>
      <w:r>
        <w:rPr>
          <w:b/>
        </w:rPr>
        <w:t>7 days</w:t>
      </w:r>
      <w:r>
        <w:t xml:space="preserve"> out, the later one nearest</w:t>
        <w:br/>
        <w:t xml:space="preserve">  </w:t>
      </w:r>
      <w:r>
        <w:rPr>
          <w:b/>
        </w:rPr>
        <w:t>near + 28 days</w:t>
      </w:r>
      <w:r>
        <w:t xml:space="preserve"> and at least a week after it, both inside your DTE range; same</w:t>
        <w:br/>
        <w:t xml:space="preserve"> 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Vol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column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(click a row) follows the same rules in 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calendar or diagonal is checked against its </w:t>
      </w:r>
      <w:r>
        <w:rPr>
          <w:b/>
        </w:rPr>
        <w:t>latest</w:t>
      </w:r>
      <w:r>
        <w:rPr/>
        <w:t xml:space="preserve"> expiration: the</w:t>
        <w:br/>
        <w:t>back month is still open through a report that lands after the front expires.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>result.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