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and </w:t>
            </w:r>
            <w:r>
              <w:rPr>
                <w:b/>
              </w:rPr>
              <w:t>Hedging-flow model (HIRO)</w:t>
            </w:r>
            <w:r>
              <w:rPr/>
              <w:t xml:space="preserve"> for the two hedging alerts)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never high: shadow cannot reproduce two identical requests sharing one fetch, or</w:t>
        <w:br/>
        <w:t>the proxy fetching a wider window it already holds in place of a narrower one.</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