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MARKETS</w:t>
      </w:r>
      <w:r>
        <w:rPr/>
        <w:t>, after Flow Alerts.</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w:t>
      </w:r>
    </w:p>
    <w:p>
      <w:pPr>
        <w:pStyle w:val="ListBullet"/>
      </w:pPr>
      <w:r>
        <w:t xml:space="preserve">Before 08:36, on a closed day, or after a failed refresh the page shows the </w:t>
      </w:r>
      <w:r>
        <w:rPr>
          <w:b/>
        </w:rPr>
        <w:t>last</w:t>
        <w:br/>
        <w:t xml:space="preserve">  call</w:t>
      </w:r>
      <w:r>
        <w:t>, labelled with its day, under a line saying when the next call is due.</w:t>
      </w:r>
    </w:p>
    <w:p>
      <w:pPr>
        <w:pStyle w:val="ListBullet"/>
      </w:pPr>
      <w:r>
        <w:rPr>
          <w:b/>
        </w:rPr>
        <w:t>Not in the probability</w:t>
      </w:r>
      <w:r>
        <w:t xml:space="preserve"> (the report link, headlines, flow alerts) is context only.</w:t>
      </w:r>
    </w:p>
    <w:p>
      <w:pPr>
        <w:pStyle w:val="ListBullet"/>
      </w:pPr>
      <w:r>
        <w:rPr>
          <w:b/>
        </w:rPr>
        <w:t>Scorecard</w:t>
      </w:r>
      <w:r>
        <w:t xml:space="preserve"> (the last card)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IntenseQuote"/>
      </w:pPr>
      <w:r>
        <w:rPr/>
        <w:t xml:space="preserve">The win rates are </w:t>
      </w:r>
      <w:r>
        <w:rPr>
          <w:b/>
        </w:rPr>
        <w:t>walk-forward tested</w:t>
      </w:r>
      <w:r>
        <w:rPr/>
        <w:t xml:space="preserve"> on stored data and the premiums are modelled,</w:t>
        <w:br/>
        <w:t>so read them as how often a method like this has worked, not as a promise of fills.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