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 The one exception is a </w:t>
      </w:r>
      <w:r>
        <w:rPr>
          <w:b/>
        </w:rPr>
        <w:t>hedging</w:t>
      </w:r>
      <w:r>
        <w:t xml:space="preserve"> row, whose buying or</w:t>
        <w:br/>
        <w:t xml:space="preserve">  selling is a model's estimate and says so (≈ and "model").</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The first four cannot tell a buy from a sell</w:t>
      </w:r>
      <w:r>
        <w:rPr/>
        <w:t xml:space="preserve"> — Schwab publishes no options</w:t>
        <w:br/>
        <w:t>tape. Read those rows as "something large happened here", then use price and gamma</w:t>
        <w:br/>
        <w:t>to decide direction.</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Sector map</w:t>
            </w:r>
          </w:p>
        </w:tc>
        <w:tc>
          <w:tcPr>
            <w:tcW w:type="dxa" w:w="4320"/>
            <w:shd w:val="clear" w:color="auto" w:fill="F4F6FA"/>
          </w:tcPr>
          <w:p>
            <w:r/>
            <w:r>
              <w:rPr/>
              <w:t>Which sector each symbol counts toward for the sector cap</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and the hourly trade idea), with a</w:t>
        <w:br/>
        <w:t xml:space="preserve">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