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are </w:t>
      </w:r>
      <w:r>
        <w:rPr>
          <w:rFonts w:ascii="Consolas" w:hAnsi="Consolas"/>
          <w:color w:val="334455"/>
          <w:sz w:val="19"/>
        </w:rPr>
        <w:t>level − spot</w:t>
      </w:r>
      <w:r>
        <w:rPr/>
        <w:t xml:space="preserve"> per column, the level</w:t>
        <w:br/>
        <w:t xml:space="preserve">lines sit at </w:t>
      </w:r>
      <w:r>
        <w:rPr>
          <w:rFonts w:ascii="Consolas" w:hAnsi="Consolas"/>
          <w:color w:val="334455"/>
          <w:sz w:val="19"/>
        </w:rPr>
        <w:t>level − current spot</w:t>
      </w:r>
      <w:r>
        <w:rPr/>
        <w:t xml:space="preserve">, and the bars are drawn at </w:t>
      </w:r>
      <w:r>
        <w:rPr>
          <w:rFonts w:ascii="Consolas" w:hAnsi="Consolas"/>
          <w:color w:val="334455"/>
          <w:sz w:val="19"/>
        </w:rPr>
        <w:t>strike − current</w:t>
        <w:br/>
        <w:t>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