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Two tables on 0-DTE and Swing.</w:t>
      </w:r>
      <w:r>
        <w:rPr/>
        <w:t xml:space="preserve"> A switch at the top of each of those tabs</w:t>
        <w:br/>
        <w:t xml:space="preserve">chooses between </w:t>
      </w:r>
      <w:r>
        <w:rPr>
          <w:b/>
        </w:rPr>
        <w:t>Credit spreads</w:t>
      </w:r>
      <w:r>
        <w:rPr/>
        <w:t xml:space="preserve"> and </w:t>
      </w:r>
      <w:r>
        <w:rPr>
          <w:b/>
        </w:rPr>
        <w:t>Other structures</w:t>
      </w:r>
      <w:r>
        <w:rPr/>
        <w:t>: debit spreads,</w:t>
        <w:br/>
        <w:t>straddles and strangles, butterflies and condors on both tabs, and calendars and</w:t>
        <w:br/>
        <w:t>diagonals on Swing. They are separate tables because they are scored on separate</w:t>
        <w:br/>
        <w:t xml:space="preserve">scales (see </w:t>
      </w:r>
      <w:r>
        <w:rPr>
          <w:i/>
        </w:rPr>
        <w:t>Where it is weak</w:t>
      </w:r>
      <w:r>
        <w:rPr/>
        <w:t>, below). The family boxes above the Other</w:t>
        <w:br/>
        <w:t>structures table show and hide one kind at a time, and at most two of a family</w:t>
        <w:br/>
        <w:t>are listed per symbol.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tables use that same</w:t>
        <w:br/>
        <w:t>Fit + Quality score, so the same warning holds between the two tables of one tab.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