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 and </w:t>
      </w:r>
      <w:r>
        <w:rPr>
          <w:b/>
        </w:rPr>
        <w:t>Any</w:t>
      </w:r>
      <w:r>
        <w:t xml:space="preserve"> (0–120, the default). Typing in</w:t>
        <w:br/>
        <w:t xml:space="preserve">  either box releases the preset, so a hand-set range is never shown under a preset's</w:t>
        <w:br/>
        <w:t xml:space="preserve">  name. A wider range allows more candidates.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every newer structure except the calendar and diagonal (which</w:t>
        <w:br/>
        <w:t xml:space="preserve">  take two, below) sits on the </w:t>
      </w:r>
      <w:r>
        <w:rPr>
          <w:b/>
        </w:rPr>
        <w:t>nearest expiration at least 7 days out</w:t>
      </w:r>
      <w:r>
        <w:t xml:space="preserve"> inside your</w:t>
        <w:br/>
        <w:t xml:space="preserve">  DTE range: straddles, strangles, butterflies, the iron butterfly, condors and the</w:t>
        <w:br/>
        <w:t xml:space="preserve">  share structures. With DTE min at 0 none of them is built on a 0–6 day expiration,</w:t>
        <w:br/>
        <w:t xml:space="preserve">  and nothing needs widening for it — the floor applies by itself. A structure that</w:t>
        <w:br/>
        <w:t xml:space="preserve">  close to expiry is a same-day bet rather than the trade its name describes (an</w:t>
        <w:br/>
        <w:t xml:space="preserve">  operator decision). The Directional rows and the debit and credit spreads still take</w:t>
        <w:br/>
        <w:t xml:space="preserve">  the nearest expiration in the range.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a scan it names the symbol and its price,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name, with a small payoff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>. The number columns sort on their values. The list grows with the page</w:t>
        <w:br/>
        <w:t>rather than scrolling in a short box. Legs, breakevens and bias are not columns — they are</w:t>
        <w:br/>
        <w:t>in the detail panel.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0 where premium is too cheap to sell</w:t>
      </w:r>
      <w:r>
        <w:rPr/>
        <w:t xml:space="preserve">. The </w:t>
      </w:r>
      <w:r>
        <w:rPr>
          <w:b/>
        </w:rPr>
        <w:t>below the quality bar</w:t>
      </w:r>
      <w:r>
        <w:rPr/>
        <w:t xml:space="preserve"> count is what</w:t>
        <w:br/>
        <w:t xml:space="preserve">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 scan found</w:t>
        <w:br/>
        <w:t>nothing"</w:t>
      </w:r>
      <w:r>
        <w:rPr/>
        <w:t xml:space="preserve"> — two very different situations that would otherwise look identical. The </w:t>
      </w:r>
      <w:r>
        <w:rPr>
          <w:b/>
        </w:rPr>
        <w:t>too</w:t>
        <w:br/>
        <w:t>cheap to sell</w:t>
      </w:r>
      <w:r>
        <w:rPr/>
        <w:t xml:space="preserve"> count is a different reason: trades that would sell premium, dropped</w:t>
        <w:br/>
        <w:t>because this symbol's volatility is historically low (trades that buy premium are kept).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>asked for, never the previous one. A slow scan turns them into one still card and says</w:t>
        <w:br/>
        <w:t>it is taking longer than expected — a late result still appears, and if nothing arrives,</w:t>
        <w:br/>
        <w:t>check System Status and scan again; whatever lands belongs to the scan asked for, same</w:t>
        <w:br/>
        <w:t>symbol 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>result.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