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tables (below) go through</w:t>
        <w:br/>
        <w:t xml:space="preserve">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recorded to </w:t>
      </w:r>
      <w:r>
        <w:rPr>
          <w:rFonts w:ascii="Consolas" w:hAnsi="Consolas"/>
          <w:color w:val="334455"/>
          <w:sz w:val="19"/>
        </w:rPr>
        <w:t>signals.db</w:t>
      </w:r>
      <w:r>
        <w:rPr/>
        <w:t>, not</w:t>
        <w:br/>
        <w:t>pushed to the phone, and not counted on the Opportunity Board.</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