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 xml:space="preserve">On </w:t>
      </w:r>
      <w:r>
        <w:rPr>
          <w:b/>
        </w:rPr>
        <w:t>0-DTE</w:t>
      </w:r>
      <w:r>
        <w:t xml:space="preserve"> and </w:t>
      </w:r>
      <w:r>
        <w:rPr>
          <w:b/>
        </w:rPr>
        <w:t>Swing</w:t>
      </w:r>
      <w:r>
        <w:t xml:space="preserve">, a switch at the top of the tab: </w:t>
      </w:r>
      <w:r>
        <w:rPr>
          <w:b/>
        </w:rPr>
        <w:t>Credit spreads</w:t>
      </w:r>
      <w:r>
        <w:br/>
        <w:t xml:space="preserve">  and </w:t>
      </w:r>
      <w:r>
        <w:rPr>
          <w:b/>
        </w:rPr>
        <w:t>Other structures</w:t>
      </w:r>
      <w:r>
        <w:t xml:space="preserve">. Each is its own table (see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 xml:space="preserve">The 0-DTE and Swing scans build more than credit spreads. Click </w:t>
      </w:r>
      <w:r>
        <w:rPr>
          <w:b/>
        </w:rPr>
        <w:t>Other</w:t>
        <w:br/>
        <w:t>structures</w:t>
      </w:r>
      <w:r>
        <w:rPr/>
        <w:t xml:space="preserve"> at the top of either tab to see the rest: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Click </w:t>
      </w:r>
      <w:r>
        <w:rPr>
          <w:b/>
        </w:rPr>
        <w:t>Other structures</w:t>
      </w:r>
      <w:r>
        <w:t>. The number beside each side of the switch is how</w:t>
        <w:br/>
        <w:t xml:space="preserve">   many rows it holds, and the tab's own count adds both.</w:t>
      </w:r>
    </w:p>
    <w:p>
      <w:pPr>
        <w:pStyle w:val="ListNumber"/>
      </w:pPr>
      <w:r>
        <w:t>Untick a family box above the table to hide that kind; tick it to bring it</w:t>
        <w:br/>
        <w:t xml:space="preserve">   back. A family with nothing today is not listed.</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so they are in different tables, and a 75 in one is not a 75</w:t>
        <w:br/>
        <w:t xml:space="preserve">  in the other.</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