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 xml:space="preserve">⚠ </w:t>
      </w:r>
      <w:r>
        <w:rPr>
          <w:b/>
        </w:rPr>
        <w:t xml:space="preserve">Regenerate the lock with </w:t>
      </w:r>
      <w:r>
        <w:rPr>
          <w:rFonts w:ascii="Consolas" w:hAnsi="Consolas"/>
          <w:color w:val="334455"/>
          <w:sz w:val="19"/>
        </w:rPr>
        <w:t>pip freeze --all</w:t>
      </w:r>
      <w:r>
        <w:rPr>
          <w:b/>
        </w:rPr>
        <w:t xml:space="preserve">, not plain </w:t>
      </w:r>
      <w:r>
        <w:rPr>
          <w:rFonts w:ascii="Consolas" w:hAnsi="Consolas"/>
          <w:color w:val="334455"/>
          <w:sz w:val="19"/>
        </w:rPr>
        <w:t>pip freeze</w:t>
      </w:r>
      <w:r>
        <w:rPr>
          <w:b/>
        </w:rPr>
        <w:t>.</w:t>
      </w:r>
      <w:r>
        <w:rPr/>
        <w:t xml:space="preserve"> The lock</w:t>
        <w:br/>
        <w:t xml:space="preserve">pins </w:t>
      </w:r>
      <w:r>
        <w:rPr>
          <w:rFonts w:ascii="Consolas" w:hAnsi="Consolas"/>
          <w:color w:val="334455"/>
          <w:sz w:val="19"/>
        </w:rPr>
        <w:t>setuptools</w:t>
      </w:r>
      <w:r>
        <w:rPr/>
        <w:t xml:space="preserve"> even though nothing imports it at runtime, because </w:t>
      </w:r>
      <w:r>
        <w:rPr>
          <w:rFonts w:ascii="Consolas" w:hAnsi="Consolas"/>
          <w:color w:val="334455"/>
          <w:sz w:val="19"/>
        </w:rPr>
        <w:t>pip-audit</w:t>
      </w:r>
      <w:r>
        <w:rPr/>
        <w:br/>
        <w:t>audits the whole environment and an unpinned setuptools is a package whose version</w:t>
        <w:br/>
        <w:t>differs between a developer machine and the CI runner — which is how four CVEs sat</w:t>
        <w:br/>
        <w:t xml:space="preserve">unnoticed there until 2026-08-19. Plain 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 </w:t>
      </w:r>
      <w:r>
        <w:rPr>
          <w:b/>
        </w:rPr>
        <w:t>omits setuptools by default</w:t>
      </w:r>
      <w:r>
        <w:rPr/>
        <w:br/>
        <w:t>(verified), so regenerating the lock that way silently drops the pin and quietly</w:t>
        <w:br/>
        <w:t>reopens the gap.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+DI = 100 · EMA(+DM, 14) / EMA(TR, 14)</w:t>
      </w:r>
      <w:r>
        <w:br/>
      </w:r>
      <w:r>
        <w:rPr>
          <w:rFonts w:ascii="Consolas" w:hAnsi="Consolas"/>
          <w:color w:val="223344"/>
          <w:sz w:val="18"/>
        </w:rPr>
        <w:t>-DI = 100 · EMA(-DM, 14) / EMA(TR, 14)</w:t>
      </w:r>
      <w:r>
        <w:br/>
      </w:r>
      <w:r>
        <w:rPr>
          <w:rFonts w:ascii="Consolas" w:hAnsi="Consolas"/>
          <w:color w:val="223344"/>
          <w:sz w:val="18"/>
        </w:rPr>
        <w:t>DX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= EMA(DX, 14)</w:t>
      </w:r>
    </w:p>
    <w:p>
      <w:r>
        <w:rPr/>
        <w:t>(TR = true range; +DM/−DM = directional movement.) &gt;25 ≈ strong trend.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r>
        <w:rPr>
          <w:rFonts w:ascii="Consolas" w:hAnsi="Consolas"/>
          <w:color w:val="334455"/>
          <w:sz w:val="19"/>
        </w:rPr>
        <w:t>r</w:t>
      </w:r>
      <w:r>
        <w:rPr>
          <w:b/>
        </w:rPr>
        <w:t xml:space="preserve"> is </w:t>
      </w:r>
      <w:r>
        <w:rPr>
          <w:rFonts w:ascii="Consolas" w:hAnsi="Consolas"/>
          <w:color w:val="334455"/>
          <w:sz w:val="19"/>
        </w:rPr>
        <w:t>options_calculator.RISK_FREE_RATE = 0.045</w:t>
      </w:r>
      <w:r>
        <w:rPr>
          <w:b/>
        </w:rPr>
        <w:t>, static, and it is the single</w:t>
        <w:br/>
        <w:t>source</w:t>
      </w:r>
      <w:r>
        <w:rPr/>
        <w:t xml:space="preserve"> — the calculator, the simulator, </w:t>
      </w:r>
      <w:r>
        <w:rPr>
          <w:rFonts w:ascii="Consolas" w:hAnsi="Consolas"/>
          <w:color w:val="334455"/>
          <w:sz w:val="19"/>
        </w:rPr>
        <w:t>gamma_tool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options_svc.compute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calc_iv</w:t>
      </w:r>
      <w:r>
        <w:rPr/>
        <w:t xml:space="preserve"> and the forward projection band) and </w:t>
      </w:r>
      <w:r>
        <w:rPr>
          <w:rFonts w:ascii="Consolas" w:hAnsi="Consolas"/>
          <w:color w:val="334455"/>
          <w:sz w:val="19"/>
        </w:rPr>
        <w:t>backtest_0dte</w:t>
      </w:r>
      <w:r>
        <w:rPr/>
        <w:t xml:space="preserve"> all import it rather</w:t>
        <w:br/>
        <w:t xml:space="preserve">than declaring their own. It is a </w:t>
      </w:r>
      <w:r>
        <w:rPr>
          <w:b/>
        </w:rPr>
        <w:t>fixed assumption, not a live rate</w:t>
      </w:r>
      <w:r>
        <w:rPr/>
        <w:t>: nothing fetches</w:t>
        <w:br/>
        <w:t>a Treasury yield, so a real move in short rates does not reach the model until this</w:t>
        <w:br/>
        <w:t>constant is edited. That is a defensible simplification for the horizons this app trades</w:t>
        <w:br/>
        <w:t xml:space="preserve">— at 0DTE a half-point of rate is worth about </w:t>
      </w:r>
      <w:r>
        <w:rPr>
          <w:b/>
        </w:rPr>
        <w:t>0.23%</w:t>
      </w:r>
      <w:r>
        <w:rPr/>
        <w:t xml:space="preserve"> of the option price (measured on</w:t>
        <w:br/>
        <w:t>a 6800/6750 SPX-like put at 15% vol; 0.33% at 1 DTE, 0.69% at 7 DTE) — but it is an</w:t>
        <w:br/>
        <w:t>assumption, and on multi-week swing structures it is the least accurate input in the</w:t>
        <w:br/>
        <w:t xml:space="preserve">model. </w:t>
      </w:r>
      <w:r>
        <w:rPr>
          <w:rFonts w:ascii="Consolas" w:hAnsi="Consolas"/>
          <w:color w:val="334455"/>
          <w:sz w:val="19"/>
        </w:rPr>
        <w:t>q = 0</w:t>
      </w:r>
      <w:r>
        <w:rPr/>
        <w:t>: no dividend yield, which matters most for SPY/SPX at roughly a 1.3%</w:t>
        <w:br/>
        <w:t>annual yield on longer-dated positions.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 heat map.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>byte-identical to the legacy path).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>), so same-expiry structures decay together while a</w:t>
        <w:br/>
        <w:t xml:space="preserve">  </w:t>
      </w:r>
      <w:r>
        <w:rPr>
          <w:b/>
        </w:rPr>
        <w:t>calendar</w:t>
      </w:r>
      <w:r>
        <w:t xml:space="preserve"> decays each leg on its own clock.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Risk-free rate </w:t>
            </w:r>
            <w:r>
              <w:rPr>
                <w:rFonts w:ascii="Consolas" w:hAnsi="Consolas"/>
                <w:color w:val="334455"/>
                <w:sz w:val="19"/>
              </w:rPr>
              <w:t>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0.045, static (single source; </w:t>
            </w:r>
            <w:r>
              <w:rPr>
                <w:rFonts w:ascii="Consolas" w:hAnsi="Consolas"/>
                <w:color w:val="334455"/>
                <w:sz w:val="19"/>
              </w:rPr>
              <w:t>q</w:t>
            </w:r>
            <w:r>
              <w:rPr/>
              <w:t>=0, no dividend)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options_calculator.py:RISK_FREE_RATE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RRG windows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HV window</w:t>
            </w:r>
          </w:p>
        </w:tc>
        <w:tc>
          <w:tcPr>
            <w:tcW w:type="dxa" w:w="2880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