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 xml:space="preserve">⚠ </w:t>
      </w:r>
      <w:r>
        <w:rPr>
          <w:b/>
        </w:rPr>
        <w:t xml:space="preserve">Regenerate the lock with </w:t>
      </w:r>
      <w:r>
        <w:rPr>
          <w:rFonts w:ascii="Consolas" w:hAnsi="Consolas"/>
          <w:color w:val="334455"/>
          <w:sz w:val="19"/>
        </w:rPr>
        <w:t>pip freeze --all</w:t>
      </w:r>
      <w:r>
        <w:rPr>
          <w:b/>
        </w:rPr>
        <w:t xml:space="preserve">, not plain </w:t>
      </w:r>
      <w:r>
        <w:rPr>
          <w:rFonts w:ascii="Consolas" w:hAnsi="Consolas"/>
          <w:color w:val="334455"/>
          <w:sz w:val="19"/>
        </w:rPr>
        <w:t>pip freeze</w:t>
      </w:r>
      <w:r>
        <w:rPr>
          <w:b/>
        </w:rPr>
        <w:t>.</w:t>
      </w:r>
      <w:r>
        <w:rPr/>
        <w:t xml:space="preserve"> The lock pins</w:t>
        <w:br/>
      </w:r>
      <w:r>
        <w:rPr>
          <w:rFonts w:ascii="Consolas" w:hAnsi="Consolas"/>
          <w:color w:val="334455"/>
          <w:sz w:val="19"/>
        </w:rPr>
        <w:t>setuptools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pip</w:t>
      </w:r>
      <w:r>
        <w:rPr/>
        <w:t xml:space="preserve"> even though nothing imports them at runtime, because</w:t>
        <w:br/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 audits the whole environment and an unpinned tool is a package whose version</w:t>
        <w:br/>
        <w:t>differs between machines — which is how four setuptools CVEs sat unnoticed until</w:t>
        <w:br/>
        <w:t xml:space="preserve">2026-08-19, and how prod was still on </w:t>
      </w:r>
      <w:r>
        <w:rPr>
          <w:b/>
        </w:rPr>
        <w:t>pip 24.0 (six advisories)</w:t>
      </w:r>
      <w:r>
        <w:rPr/>
        <w:t xml:space="preserve"> that same day while</w:t>
        <w:br/>
        <w:t xml:space="preserve">dev audited clean. Plain 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 </w:t>
      </w:r>
      <w:r>
        <w:rPr>
          <w:b/>
        </w:rPr>
        <w:t>omits both by default</w:t>
      </w:r>
      <w:r>
        <w:rPr/>
        <w:t xml:space="preserve"> (verified), so</w:t>
        <w:br/>
        <w:t>regenerating the lock that way silently drops the pins and quietly reopens the gap.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r>
        <w:rPr>
          <w:b/>
        </w:rPr>
        <w:t>Merging the three</w:t>
      </w:r>
      <w:r>
        <w:rPr/>
        <w:t xml:space="preserve"> — an undefined sub-score (</w:t>
      </w:r>
      <w:r>
        <w:rPr>
          <w:rFonts w:ascii="Consolas" w:hAnsi="Consolas"/>
          <w:color w:val="334455"/>
          <w:sz w:val="19"/>
        </w:rPr>
        <w:t>score == 0</w:t>
      </w:r>
      <w:r>
        <w:rPr/>
        <w:t xml:space="preserve">, e.g. </w:t>
      </w:r>
      <w:r>
        <w:rPr>
          <w:rFonts w:ascii="Consolas" w:hAnsi="Consolas"/>
          <w:color w:val="334455"/>
          <w:sz w:val="19"/>
        </w:rPr>
        <w:t>$VIX1D</w:t>
      </w:r>
      <w:r>
        <w:rPr/>
        <w:t xml:space="preserve"> absent</w:t>
        <w:br/>
        <w:t xml:space="preserve">off-hours) </w:t>
      </w:r>
      <w:r>
        <w:rPr>
          <w:b/>
        </w:rPr>
        <w:t>drops out</w:t>
      </w:r>
      <w:r>
        <w:rPr/>
        <w:t xml:space="preserve"> and the rest are renormalized over the weight actually</w:t>
        <w:br/>
        <w:t>present, the same shape as the Put/Call blend below: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     = Σ(w · s  for present subs) / Σ(w for present subs)   # clamp 1..10</w:t>
      </w:r>
      <w:r>
        <w:br/>
      </w:r>
      <w:r>
        <w:rPr>
          <w:rFonts w:ascii="Consolas" w:hAnsi="Consolas"/>
          <w:color w:val="223344"/>
          <w:sz w:val="18"/>
        </w:rPr>
        <w:t>confidence = Σ(w · c  over ALL THREE subs)                        # NOT renormalized</w:t>
      </w:r>
    </w:p>
    <w:p>
      <w:r>
        <w:rPr/>
        <w:t xml:space="preserve">The confidence is deliberately left un-normalized: with </w:t>
      </w:r>
      <w:r>
        <w:rPr>
          <w:rFonts w:ascii="Consolas" w:hAnsi="Consolas"/>
          <w:color w:val="334455"/>
          <w:sz w:val="19"/>
        </w:rPr>
        <w:t>$VIX1D</w:t>
      </w:r>
      <w:r>
        <w:rPr/>
        <w:t xml:space="preserve"> missing it reads</w:t>
        <w:br/>
        <w:t>0.67, which is how the top-level composite down-weights a thinner reading. Before</w:t>
        <w:br/>
        <w:t xml:space="preserve">2026-08-20 the </w:t>
      </w:r>
      <w:r>
        <w:rPr>
          <w:i/>
        </w:rPr>
        <w:t>score</w:t>
      </w:r>
      <w:r>
        <w:rPr/>
        <w:t xml:space="preserve"> was not renormalized either, so a missing sub contributed a</w:t>
        <w:br/>
        <w:t xml:space="preserve">zero and dragged the published value toward 1 — term 6 + slope 8 printed </w:t>
      </w:r>
      <w:r>
        <w:rPr>
          <w:b/>
        </w:rPr>
        <w:t>4</w:t>
      </w:r>
      <w:r>
        <w:rPr/>
        <w:br/>
        <w:t xml:space="preserve">where the two present components average </w:t>
      </w:r>
      <w:r>
        <w:rPr>
          <w:b/>
        </w:rPr>
        <w:t>6.5</w:t>
      </w:r>
      <w:r>
        <w:rPr/>
        <w:t>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. Wilder's directional movement, then</w:t>
        <w:br/>
        <w:t xml:space="preserve">Wilder smoothing (RMA, </w:t>
      </w:r>
      <w:r>
        <w:rPr>
          <w:rFonts w:ascii="Consolas" w:hAnsi="Consolas"/>
          <w:color w:val="334455"/>
          <w:sz w:val="19"/>
        </w:rPr>
        <w:t>alpha = 1/period</w:t>
      </w:r>
      <w:r>
        <w:rPr/>
        <w:t>) at every stage: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up   = high - high[-1]            # signed</w:t>
      </w:r>
      <w:r>
        <w:br/>
      </w:r>
      <w:r>
        <w:rPr>
          <w:rFonts w:ascii="Consolas" w:hAnsi="Consolas"/>
          <w:color w:val="223344"/>
          <w:sz w:val="18"/>
        </w:rPr>
        <w:t>down = low[-1] - low              # signed: a RISING low is a NEGATIVE down-move</w:t>
      </w:r>
      <w:r>
        <w:br/>
      </w:r>
      <w:r>
        <w:rPr>
          <w:rFonts w:ascii="Consolas" w:hAnsi="Consolas"/>
          <w:color w:val="223344"/>
          <w:sz w:val="18"/>
        </w:rPr>
        <w:t>+DM  = up    if (up &gt; down   and up &gt; 0)   else 0</w:t>
      </w:r>
      <w:r>
        <w:br/>
      </w:r>
      <w:r>
        <w:rPr>
          <w:rFonts w:ascii="Consolas" w:hAnsi="Consolas"/>
          <w:color w:val="223344"/>
          <w:sz w:val="18"/>
        </w:rPr>
        <w:t>-DM  = down  if (down &gt; up   and down &gt; 0) else 0</w:t>
      </w:r>
      <w:r>
        <w:br/>
      </w:r>
      <w:r>
        <w:rPr>
          <w:rFonts w:ascii="Consolas" w:hAnsi="Consolas"/>
          <w:color w:val="223344"/>
          <w:sz w:val="18"/>
        </w:rPr>
        <w:t>+DI  = 100 · RMA(+DM, 14) / RMA(TR, 14)</w:t>
      </w:r>
      <w:r>
        <w:br/>
      </w:r>
      <w:r>
        <w:rPr>
          <w:rFonts w:ascii="Consolas" w:hAnsi="Consolas"/>
          <w:color w:val="223344"/>
          <w:sz w:val="18"/>
        </w:rPr>
        <w:t>-DI  = 100 · RMA(-DM, 14) / RMA(TR, 14)</w:t>
      </w:r>
      <w:r>
        <w:br/>
      </w:r>
      <w:r>
        <w:rPr>
          <w:rFonts w:ascii="Consolas" w:hAnsi="Consolas"/>
          <w:color w:val="223344"/>
          <w:sz w:val="18"/>
        </w:rPr>
        <w:t>DX 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 = RMA(DX, 14)</w:t>
      </w:r>
    </w:p>
    <w:p>
      <w:r>
        <w:rPr/>
        <w:t xml:space="preserve">(TR = true range.) &gt;25 ≈ strong trend; an inside day yields </w:t>
      </w:r>
      <w:r>
        <w:rPr>
          <w:b/>
        </w:rPr>
        <w:t>neither</w:t>
      </w:r>
      <w:r>
        <w:rPr/>
        <w:t xml:space="preserve"> +DM nor -DM.</w:t>
      </w:r>
    </w:p>
    <w:p>
      <w:r>
        <w:rPr/>
        <w:t xml:space="preserve">⚠ The two comparisons above are against the </w:t>
      </w:r>
      <w:r>
        <w:rPr>
          <w:b/>
        </w:rPr>
        <w:t>raw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up</w:t>
      </w:r>
      <w:r>
        <w:rPr/>
        <w:t>/</w:t>
      </w:r>
      <w:r>
        <w:rPr>
          <w:rFonts w:ascii="Consolas" w:hAnsi="Consolas"/>
          <w:color w:val="334455"/>
          <w:sz w:val="19"/>
        </w:rPr>
        <w:t>down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down</w:t>
      </w:r>
      <w:r>
        <w:rPr/>
        <w:t xml:space="preserve"> carries</w:t>
        <w:br/>
        <w:t xml:space="preserve">its sign. Until 2026-08-20 this function used </w:t>
      </w:r>
      <w:r>
        <w:rPr>
          <w:rFonts w:ascii="Consolas" w:hAnsi="Consolas"/>
          <w:color w:val="334455"/>
          <w:sz w:val="19"/>
        </w:rPr>
        <w:t>|Δlow|</w:t>
      </w:r>
      <w:r>
        <w:rPr/>
        <w:t>, which books every up-day as</w:t>
        <w:br/>
        <w:t xml:space="preserve">downward movement too, and compared </w:t>
      </w:r>
      <w:r>
        <w:rPr>
          <w:rFonts w:ascii="Consolas" w:hAnsi="Consolas"/>
          <w:color w:val="334455"/>
          <w:sz w:val="19"/>
        </w:rPr>
        <w:t>-DM</w:t>
      </w:r>
      <w:r>
        <w:rPr/>
        <w:t xml:space="preserve"> against an already-filtered </w:t>
      </w:r>
      <w:r>
        <w:rPr>
          <w:rFonts w:ascii="Consolas" w:hAnsi="Consolas"/>
          <w:color w:val="334455"/>
          <w:sz w:val="19"/>
        </w:rPr>
        <w:t>+DM</w:t>
      </w:r>
      <w:r>
        <w:rPr/>
        <w:t>. It read</w:t>
        <w:br/>
      </w:r>
      <w:r>
        <w:rPr>
          <w:b/>
        </w:rPr>
        <w:t>76.6 where the true value is 32.5</w:t>
      </w:r>
      <w:r>
        <w:rPr/>
        <w:t xml:space="preserve"> on a realistic tape, and a </w:t>
      </w:r>
      <w:r>
        <w:rPr>
          <w:b/>
        </w:rPr>
        <w:t>dead-flat series</w:t>
        <w:br/>
        <w:t>read ADX 100</w:t>
      </w:r>
      <w:r>
        <w:rPr/>
        <w:t>. ADX feeds the Day trend needle, the Week/Month structural arcs, the</w:t>
        <w:br/>
        <w:t xml:space="preserve">regime classifier's </w:t>
      </w:r>
      <w:r>
        <w:rPr>
          <w:i/>
        </w:rPr>
        <w:t>trending</w:t>
      </w:r>
      <w:r>
        <w:rPr/>
        <w:t xml:space="preserve"> tells and the Trade page's momentum block, so readings</w:t>
        <w:br/>
        <w:t>recorded before that date are not comparable with ones after it.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r>
        <w:rPr>
          <w:rFonts w:ascii="Consolas" w:hAnsi="Consolas"/>
          <w:color w:val="334455"/>
          <w:sz w:val="19"/>
        </w:rPr>
        <w:t>r</w:t>
      </w:r>
      <w:r>
        <w:rPr>
          <w:b/>
        </w:rPr>
        <w:t xml:space="preserve"> is </w:t>
      </w:r>
      <w:r>
        <w:rPr>
          <w:rFonts w:ascii="Consolas" w:hAnsi="Consolas"/>
          <w:color w:val="334455"/>
          <w:sz w:val="19"/>
        </w:rPr>
        <w:t>options_calculator.RISK_FREE_RATE = 0.045</w:t>
      </w:r>
      <w:r>
        <w:rPr>
          <w:b/>
        </w:rPr>
        <w:t>, static, and it is the single</w:t>
        <w:br/>
        <w:t>source</w:t>
      </w:r>
      <w:r>
        <w:rPr/>
        <w:t xml:space="preserve"> — the calculator, the simulator, </w:t>
      </w:r>
      <w:r>
        <w:rPr>
          <w:rFonts w:ascii="Consolas" w:hAnsi="Consolas"/>
          <w:color w:val="334455"/>
          <w:sz w:val="19"/>
        </w:rPr>
        <w:t>gamma_tool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options_svc.compute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calc_iv</w:t>
      </w:r>
      <w:r>
        <w:rPr/>
        <w:t xml:space="preserve"> and the forward projection band) all import it rather than declaring their</w:t>
        <w:br/>
        <w:t>own. (</w:t>
      </w:r>
      <w:r>
        <w:rPr>
          <w:rFonts w:ascii="Consolas" w:hAnsi="Consolas"/>
          <w:color w:val="334455"/>
          <w:sz w:val="19"/>
        </w:rPr>
        <w:t>backtest_0dte</w:t>
      </w:r>
      <w:r>
        <w:rPr/>
        <w:t xml:space="preserve"> was in that list until 2026-08-20, when it was deleted with the</w:t>
        <w:br/>
        <w:t xml:space="preserve">rest of the superseded CLI tooling.) It is a </w:t>
      </w:r>
      <w:r>
        <w:rPr>
          <w:b/>
        </w:rPr>
        <w:t>fixed assumption, not a live rate</w:t>
      </w:r>
      <w:r>
        <w:rPr/>
        <w:t>: nothing fetches</w:t>
        <w:br/>
        <w:t>a Treasury yield, so a real move in short rates does not reach the model until this</w:t>
        <w:br/>
        <w:t>constant is edited. That is a defensible simplification for the horizons this app trades</w:t>
        <w:br/>
        <w:t xml:space="preserve">— at 0DTE a half-point of rate is worth about </w:t>
      </w:r>
      <w:r>
        <w:rPr>
          <w:b/>
        </w:rPr>
        <w:t>0.23%</w:t>
      </w:r>
      <w:r>
        <w:rPr/>
        <w:t xml:space="preserve"> of the option price (measured on</w:t>
        <w:br/>
        <w:t>a 6800/6750 SPX-like put at 15% vol; 0.33% at 1 DTE, 0.69% at 7 DTE) — but it is an</w:t>
        <w:br/>
        <w:t>assumption, and on multi-week swing structures it is the least accurate input in the</w:t>
        <w:br/>
        <w:t xml:space="preserve">model. </w:t>
      </w:r>
      <w:r>
        <w:rPr>
          <w:rFonts w:ascii="Consolas" w:hAnsi="Consolas"/>
          <w:color w:val="334455"/>
          <w:sz w:val="19"/>
        </w:rPr>
        <w:t>q = 0</w:t>
      </w:r>
      <w:r>
        <w:rPr/>
        <w:t>: no dividend yield, which matters most for SPY/SPX at roughly a 1.3%</w:t>
        <w:br/>
        <w:t>annual yield on longer-dated positions.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Calculator's P&amp;L matrix.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 xml:space="preserve">byte-identical to the legacy path). Each leg's </w:t>
      </w:r>
      <w:r>
        <w:rPr>
          <w:rFonts w:ascii="Consolas" w:hAnsi="Consolas"/>
          <w:color w:val="334455"/>
          <w:sz w:val="19"/>
        </w:rPr>
        <w:t>leg_T0</w:t>
      </w:r>
      <w:r>
        <w:rPr/>
        <w:t xml:space="preserve"> comes from</w:t>
        <w:br/>
      </w:r>
      <w:r>
        <w:rPr>
          <w:rFonts w:ascii="Consolas" w:hAnsi="Consolas"/>
          <w:color w:val="334455"/>
          <w:sz w:val="19"/>
        </w:rPr>
        <w:t>_leg_expiry_years</w:t>
      </w:r>
      <w:r>
        <w:rPr/>
        <w:t xml:space="preserve">, which settles at </w:t>
      </w:r>
      <w:r>
        <w:rPr>
          <w:b/>
        </w:rPr>
        <w:t>16:00 America/New_York</w:t>
      </w:r>
      <w:r>
        <w:rPr/>
        <w:t xml:space="preserve"> via the shared</w:t>
        <w:br/>
      </w:r>
      <w:r>
        <w:rPr>
          <w:rFonts w:ascii="Consolas" w:hAnsi="Consolas"/>
          <w:color w:val="334455"/>
          <w:sz w:val="19"/>
        </w:rPr>
        <w:t>expiry_time_to_years</w:t>
      </w:r>
      <w:r>
        <w:rPr/>
        <w:t xml:space="preserve"> — the same instant the summary tiles and the simulator use.</w:t>
        <w:br/>
        <w:t>(It previously built its own naive 4pm against a host-local clock, which on the CT</w:t>
        <w:br/>
        <w:t>box resolved to 17:00 ET: the grid carried an extra hour of time value in every</w:t>
        <w:br/>
        <w:t>cell, and the T=0 "Exp" column showed premium instead of the kinked payoff.)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 xml:space="preserve"> via </w:t>
      </w:r>
      <w:r>
        <w:rPr>
          <w:rFonts w:ascii="Consolas" w:hAnsi="Consolas"/>
          <w:color w:val="334455"/>
          <w:sz w:val="19"/>
        </w:rPr>
        <w:t>compute._leg_days_to_expiry</w:t>
      </w:r>
      <w:r>
        <w:t>), so same-expiry</w:t>
        <w:br/>
        <w:t xml:space="preserve">  structures decay together while a </w:t>
      </w:r>
      <w:r>
        <w:rPr>
          <w:b/>
        </w:rPr>
        <w:t>calendar</w:t>
      </w:r>
      <w:r>
        <w:t xml:space="preserve"> decays each leg on its own clock.</w:t>
        <w:br/>
        <w:t xml:space="preserve">  </w:t>
      </w:r>
      <w:r>
        <w:rPr>
          <w:rFonts w:ascii="Consolas" w:hAnsi="Consolas"/>
          <w:color w:val="334455"/>
          <w:sz w:val="19"/>
        </w:rPr>
        <w:t>leg_DTE</w:t>
      </w:r>
      <w:r>
        <w:t xml:space="preserve"> is </w:t>
      </w:r>
      <w:r>
        <w:rPr>
          <w:b/>
        </w:rPr>
        <w:t>fractional and intraday-aware</w:t>
      </w:r>
      <w:r>
        <w:t xml:space="preserve"> — calendar hours to the 16:00 ET</w:t>
        <w:br/>
        <w:t xml:space="preserve">  close / 365, the same convention as the Calculator. (Until 2026-08-20 it used</w:t>
        <w:br/>
        <w:t xml:space="preserve">  whole-day </w:t>
      </w:r>
      <w:r>
        <w:rPr>
          <w:rFonts w:ascii="Consolas" w:hAnsi="Consolas"/>
          <w:color w:val="334455"/>
          <w:sz w:val="19"/>
        </w:rPr>
        <w:t>(expiry − today).days</w:t>
      </w:r>
      <w:r>
        <w:t xml:space="preserve"> floored at 0.01 days, so a 0-DTE leg priced at</w:t>
        <w:br/>
        <w:t xml:space="preserve">  T ≈ 14 minutes however many hours were left — and the P/L baseline it is measured</w:t>
        <w:br/>
        <w:t xml:space="preserve">  against used that same wrong T.)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Risk-free rate </w:t>
            </w:r>
            <w:r>
              <w:rPr>
                <w:rFonts w:ascii="Consolas" w:hAnsi="Consolas"/>
                <w:color w:val="334455"/>
                <w:sz w:val="19"/>
              </w:rPr>
              <w:t>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0.045, static (single source; </w:t>
            </w:r>
            <w:r>
              <w:rPr>
                <w:rFonts w:ascii="Consolas" w:hAnsi="Consolas"/>
                <w:color w:val="334455"/>
                <w:sz w:val="19"/>
              </w:rPr>
              <w:t>q</w:t>
            </w:r>
            <w:r>
              <w:rPr/>
              <w:t>=0, no dividend)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options_calculator.py:RISK_FREE_RATE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RRG windows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HV window</w:t>
            </w:r>
          </w:p>
        </w:tc>
        <w:tc>
          <w:tcPr>
            <w:tcW w:type="dxa" w:w="2880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