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BE123C"/>
        </w:rPr>
        <w:t>Practice Challenges: Worked Word Output</w:t>
      </w:r>
    </w:p>
    <w:p>
      <w:r>
        <w:rPr>
          <w:i/>
        </w:rPr>
        <w:t>Check-your-work artifacts for the two challenges that produce Word output.</w:t>
      </w:r>
    </w:p>
    <w:p>
      <w:pPr>
        <w:pStyle w:val="Heading1"/>
      </w:pPr>
      <w:r>
        <w:rPr>
          <w:color w:val="BE123C"/>
        </w:rPr>
        <w:t>Challenge 3: Revenue by region (report-ready table)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Region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Revenue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Share</w:t>
            </w:r>
          </w:p>
        </w:tc>
      </w:tr>
      <w:tr>
        <w:tc>
          <w:tcPr>
            <w:tcW w:type="dxa" w:w="2880"/>
          </w:tcPr>
          <w:p>
            <w:r>
              <w:t>North</w:t>
            </w:r>
          </w:p>
        </w:tc>
        <w:tc>
          <w:tcPr>
            <w:tcW w:type="dxa" w:w="2880"/>
          </w:tcPr>
          <w:p>
            <w:r>
              <w:t>$535,879</w:t>
            </w:r>
          </w:p>
        </w:tc>
        <w:tc>
          <w:tcPr>
            <w:tcW w:type="dxa" w:w="2880"/>
          </w:tcPr>
          <w:p>
            <w:r>
              <w:t>24.9%</w:t>
            </w:r>
          </w:p>
        </w:tc>
      </w:tr>
      <w:tr>
        <w:tc>
          <w:tcPr>
            <w:tcW w:type="dxa" w:w="2880"/>
          </w:tcPr>
          <w:p>
            <w:r>
              <w:t>West</w:t>
            </w:r>
          </w:p>
        </w:tc>
        <w:tc>
          <w:tcPr>
            <w:tcW w:type="dxa" w:w="2880"/>
          </w:tcPr>
          <w:p>
            <w:r>
              <w:t>$489,393</w:t>
            </w:r>
          </w:p>
        </w:tc>
        <w:tc>
          <w:tcPr>
            <w:tcW w:type="dxa" w:w="2880"/>
          </w:tcPr>
          <w:p>
            <w:r>
              <w:t>22.7%</w:t>
            </w:r>
          </w:p>
        </w:tc>
      </w:tr>
      <w:tr>
        <w:tc>
          <w:tcPr>
            <w:tcW w:type="dxa" w:w="2880"/>
          </w:tcPr>
          <w:p>
            <w:r>
              <w:t>East</w:t>
            </w:r>
          </w:p>
        </w:tc>
        <w:tc>
          <w:tcPr>
            <w:tcW w:type="dxa" w:w="2880"/>
          </w:tcPr>
          <w:p>
            <w:r>
              <w:t>$422,289</w:t>
            </w:r>
          </w:p>
        </w:tc>
        <w:tc>
          <w:tcPr>
            <w:tcW w:type="dxa" w:w="2880"/>
          </w:tcPr>
          <w:p>
            <w:r>
              <w:t>19.6%</w:t>
            </w:r>
          </w:p>
        </w:tc>
      </w:tr>
      <w:tr>
        <w:tc>
          <w:tcPr>
            <w:tcW w:type="dxa" w:w="2880"/>
          </w:tcPr>
          <w:p>
            <w:r>
              <w:t>South</w:t>
            </w:r>
          </w:p>
        </w:tc>
        <w:tc>
          <w:tcPr>
            <w:tcW w:type="dxa" w:w="2880"/>
          </w:tcPr>
          <w:p>
            <w:r>
              <w:t>$379,930</w:t>
            </w:r>
          </w:p>
        </w:tc>
        <w:tc>
          <w:tcPr>
            <w:tcW w:type="dxa" w:w="2880"/>
          </w:tcPr>
          <w:p>
            <w:r>
              <w:t>17.6%</w:t>
            </w:r>
          </w:p>
        </w:tc>
      </w:tr>
      <w:tr>
        <w:tc>
          <w:tcPr>
            <w:tcW w:type="dxa" w:w="2880"/>
          </w:tcPr>
          <w:p>
            <w:r>
              <w:t>Central</w:t>
            </w:r>
          </w:p>
        </w:tc>
        <w:tc>
          <w:tcPr>
            <w:tcW w:type="dxa" w:w="2880"/>
          </w:tcPr>
          <w:p>
            <w:r>
              <w:t>$327,447</w:t>
            </w:r>
          </w:p>
        </w:tc>
        <w:tc>
          <w:tcPr>
            <w:tcW w:type="dxa" w:w="2880"/>
          </w:tcPr>
          <w:p>
            <w:r>
              <w:t>15.2%</w:t>
            </w:r>
          </w:p>
        </w:tc>
      </w:tr>
      <w:tr>
        <w:tc>
          <w:tcPr>
            <w:tcW w:type="dxa" w:w="2880"/>
          </w:tcPr>
          <w:p>
            <w:r>
              <w:t>TOTAL</w:t>
            </w:r>
          </w:p>
        </w:tc>
        <w:tc>
          <w:tcPr>
            <w:tcW w:type="dxa" w:w="2880"/>
          </w:tcPr>
          <w:p>
            <w:r>
              <w:t>$2,154,938</w:t>
            </w:r>
          </w:p>
        </w:tc>
        <w:tc>
          <w:tcPr>
            <w:tcW w:type="dxa" w:w="2880"/>
          </w:tcPr>
          <w:p>
            <w:r>
              <w:t>100.0%</w:t>
            </w:r>
          </w:p>
        </w:tc>
      </w:tr>
    </w:tbl>
    <w:p>
      <w:pPr>
        <w:pStyle w:val="Heading1"/>
      </w:pPr>
      <w:r>
        <w:rPr>
          <w:color w:val="BE123C"/>
        </w:rPr>
        <w:t>Challenge 4: Regions by order count, and the bottom line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208116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rder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0811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Bottom line: North leads not just in revenue but in sheer order volume, so it is our busiest market as well as our biggest, and the natural place to protect first.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