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2138"/>
          <w:sz w:val="30"/>
        </w:rPr>
        <w:t>Assessing Conformance of Packaged Coffee Net Weight to a Labeled Target:</w:t>
        <w:br/>
        <w:t>A One-Sample Analysis</w:t>
      </w:r>
    </w:p>
    <w:p>
      <w:pPr>
        <w:jc w:val="center"/>
      </w:pPr>
      <w:r>
        <w:rPr>
          <w:i/>
          <w:color w:val="555F77"/>
          <w:sz w:val="20"/>
        </w:rPr>
        <w:t>Capstone Technical Report · Statistics, Data Science and AI: A Visual Handbook · John Fisher</w:t>
      </w:r>
    </w:p>
    <w:p>
      <w:pPr>
        <w:ind w:left="432" w:right="432"/>
        <w:jc w:val="both"/>
      </w:pPr>
      <w:r>
        <w:rPr>
          <w:b/>
          <w:sz w:val="20"/>
        </w:rPr>
        <w:t xml:space="preserve">Abstract. </w:t>
      </w:r>
      <w:r>
        <w:rPr>
          <w:sz w:val="20"/>
        </w:rPr>
        <w:t>Objective. To determine whether the mean net fill weight of packaged whole-bean coffee conforms to its labeled target of 340 g. Methods. A quality-control sample of bags was drawn from one production day; after removing duplicate records, missing readings, and physically impossible values, n = 70 bags remained. Normality was assessed by the Shapiro-Wilk and Kolmogorov-Smirnov tests and a normal quantile-quantile plot; conformance was tested with a two-sided one-sample t-test against 340 g, with the Wilcoxon signed-rank test as a distribution-free sensitivity check. Effect size (Cohen's d) and a 95% confidence interval for the mean were reported. Results. The mean fill weight was 341.23 g (SD 2.10); the data were consistent with normality (Shapiro-Wilk W = 0.973, p = 0.142). The mean exceeded the target by 1.23 g, t(69) = 4.88, p &lt; 0.001, 95% CI [340.73, 341.73] g, Cohen's d = 0.58; the Wilcoxon test concurred (p &lt; 0.001). Conclusions. The line exhibits a small but statistically unambiguous positive bias of approximately 1.2 g per unit. Every unit remains above the declared weight, so no under-declaration occurs, but the systematic give-away is economically non-trivial at scale. A downward recalibration of the target to roughly 340.5 g is recommended.</w:t>
      </w:r>
    </w:p>
    <w:p>
      <w:pPr>
        <w:ind w:left="432"/>
      </w:pPr>
      <w:r>
        <w:rPr>
          <w:b/>
          <w:sz w:val="19"/>
        </w:rPr>
        <w:t xml:space="preserve">Keywords: </w:t>
      </w:r>
      <w:r>
        <w:rPr>
          <w:i/>
          <w:sz w:val="19"/>
        </w:rPr>
        <w:t>one-sample t-test; net-content conformance; effect size; process bias; quality control.</w:t>
      </w:r>
    </w:p>
    <w:p>
      <w:r>
        <w:rPr>
          <w:b/>
          <w:color w:val="1A2138"/>
          <w:sz w:val="25"/>
        </w:rPr>
        <w:t>1. Introduction</w:t>
      </w:r>
    </w:p>
    <w:p>
      <w:pPr>
        <w:spacing w:after="120"/>
        <w:jc w:val="both"/>
      </w:pPr>
      <w:r>
        <w:t>Pre-packaged commodities are sold against a declared net quantity, and producers must balance two competing risks: under-filling, which shorts the customer and violates net-content regulation, and over-filling, which gives away product and margin. For a nominal 340 g (12 oz) coffee bag, the operational question is whether the filling process is centered on its target. This report analyzes a single-day quality-control (QC) sample to test that conformance and to quantify the direction and magnitude of any departure.</w:t>
      </w:r>
    </w:p>
    <w:p>
      <w:pPr>
        <w:spacing w:after="120"/>
        <w:jc w:val="both"/>
      </w:pPr>
      <w:r>
        <w:t>The formal hypotheses for the mean net weight μ are H₀: μ = 340 g versus H₁: μ ≠ 340 g, evaluated two-sided at α = 0.05. A two-sided formulation is deliberate: a process running light and a process running heavy carry different but both material consequences, and the analysis should be able to detect either.</w:t>
      </w:r>
    </w:p>
    <w:p>
      <w:r>
        <w:rPr>
          <w:b/>
          <w:color w:val="1A2138"/>
          <w:sz w:val="25"/>
        </w:rPr>
        <w:t>2. Data</w:t>
      </w:r>
    </w:p>
    <w:p>
      <w:pPr>
        <w:spacing w:after="120"/>
        <w:jc w:val="both"/>
      </w:pPr>
      <w:r>
        <w:t>The dataset comprises 78 QC records for individual bags pulled across one production day, each with a measured net weight and contextual fields (line, shift). The export was deliberately raw and required cleaning prior to analysis. Table 1 documents the variables; Table 2 records the cleaning provenance.</w:t>
      </w:r>
    </w:p>
    <w:p>
      <w:pPr>
        <w:spacing w:before="160"/>
      </w:pPr>
      <w:r>
        <w:rPr>
          <w:b/>
          <w:color w:val="1A2138"/>
          <w:sz w:val="19"/>
        </w:rPr>
        <w:t>Table 1. Variable definitions.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bag_id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identifier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One QC-sampled bag.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line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nominal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Filling line of origin.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shift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nominal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Production shift sampled.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fill_g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continuous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Measured net weight (g); declared target 340 g.</w:t>
            </w:r>
          </w:p>
        </w:tc>
      </w:tr>
    </w:tbl>
    <w:p>
      <w:pPr>
        <w:spacing w:before="160"/>
      </w:pPr>
      <w:r>
        <w:rPr>
          <w:b/>
          <w:color w:val="1A2138"/>
          <w:sz w:val="19"/>
        </w:rPr>
        <w:t>Table 2. Data-cleaning provenance. Removed out-of-range values were {0, 34.1, 3410} g, each physically implausible for a 340 g unit.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Records removed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Remaining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Raw export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78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De-duplication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drop exact duplicate rows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76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Missing readings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drop blank fill_g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73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Range filter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retain 300 &lt; fill_g &lt; 380 g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70</w:t>
            </w:r>
          </w:p>
        </w:tc>
      </w:tr>
    </w:tbl>
    <w:p>
      <w:r>
        <w:rPr>
          <w:b/>
          <w:color w:val="1A2138"/>
          <w:sz w:val="25"/>
        </w:rPr>
        <w:t>3. Methods</w:t>
      </w:r>
    </w:p>
    <w:p>
      <w:pPr>
        <w:spacing w:after="120"/>
        <w:jc w:val="both"/>
      </w:pPr>
      <w:r>
        <w:t>The design is a single sample of independent measurements compared against a fixed reference value, for which the one-sample t-test is the standard parametric procedure. Its validity rests on approximate normality of the sampled values (or, asymptotically, on the Central Limit Theorem). Normality was assessed jointly by the Shapiro-Wilk test, the one-sample Kolmogorov-Smirnov test against a fitted normal, and a normal quantile-quantile plot, with the graphical diagnostic weighted at least as heavily as the formal tests. As a distribution-free sensitivity analysis, the Wilcoxon signed-rank test was applied to the deviations from target.</w:t>
      </w:r>
    </w:p>
    <w:p>
      <w:pPr>
        <w:spacing w:after="120"/>
        <w:jc w:val="both"/>
      </w:pPr>
      <w:r>
        <w:t>Effect size was quantified by Cohen's d = (x̄ − 340)/s, and precision by a 95% confidence interval for the mean, x̄ ± t₀.₉₇₅,ₙ₋₁ · s/√n. Achieved power at the observed effect size was computed for context. Analyses were conducted in Python 3 using SciPy (t-test, Shapiro-Wilk, Kolmogorov-Smirnov, Wilcoxon) and statsmodels (power); figures were produced in Matplotlib. The dataset and a fully executable notebook accompany this report.</w:t>
      </w:r>
    </w:p>
    <w:p>
      <w:r>
        <w:rPr>
          <w:b/>
          <w:color w:val="1A2138"/>
          <w:sz w:val="25"/>
        </w:rPr>
        <w:t>4. Results</w:t>
      </w:r>
    </w:p>
    <w:p>
      <w:pPr>
        <w:spacing w:after="120"/>
        <w:jc w:val="both"/>
      </w:pPr>
      <w:r>
        <w:t>After cleaning, n = 70 bags were analyzed. Descriptive statistics appear in Table 3. The sample mean of 341.23 g lies 1.23 g above the 340 g target, with a standard deviation of 2.10 g.</w:t>
      </w:r>
    </w:p>
    <w:p>
      <w:pPr>
        <w:spacing w:before="160"/>
      </w:pPr>
      <w:r>
        <w:rPr>
          <w:b/>
          <w:color w:val="1A2138"/>
          <w:sz w:val="19"/>
        </w:rPr>
        <w:t>Table 3. Descriptive statistics for cleaned net-weight measurements.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Statistic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70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Mean (g)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341.229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SD (g)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2.105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SE of mean (g)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0.252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Minimum (g)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334.3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Median (g)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341.4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Maximum (g)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346.6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Skewness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-0.58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Excess kurtosis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1.01</w:t>
            </w:r>
          </w:p>
        </w:tc>
      </w:tr>
    </w:tbl>
    <w:p>
      <w:pPr>
        <w:spacing w:after="120"/>
        <w:jc w:val="both"/>
      </w:pPr>
      <w:r>
        <w:t>Distributional diagnostics (Table 4, Figure 1) are consistent with normality: neither formal test rejects, and the quantile-quantile points adhere closely to the reference line. The one-sample t-test is therefore appropriate.</w:t>
      </w:r>
    </w:p>
    <w:p>
      <w:pPr>
        <w:spacing w:before="160"/>
      </w:pPr>
      <w:r>
        <w:rPr>
          <w:b/>
          <w:color w:val="1A2138"/>
          <w:sz w:val="19"/>
        </w:rPr>
        <w:t>Table 4. Normality diagnostics.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9"/>
              </w:rPr>
              <w:t>Diagnostic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Statistic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p-value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9"/>
              </w:rPr>
              <w:t>Interpretation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Shapiro-Wilk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W = 0.973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0.142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fail to reject normality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Kolmogorov-Smirnov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D = 0.080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0.735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fail to reject normality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Skewness / kurtosis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-0.58 / 1.01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mild, unremarkable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53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coffee-norma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3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77"/>
          <w:sz w:val="18"/>
        </w:rPr>
        <w:t>Figure 1. Left: cleaned net weights with a fitted normal density and the 340 g target. Right: normal Q-Q plot; the points track the reference line, supporting approximate normality.</w:t>
      </w:r>
    </w:p>
    <w:p>
      <w:pPr>
        <w:spacing w:after="120"/>
        <w:jc w:val="both"/>
      </w:pPr>
      <w:r>
        <w:t>The primary test (Table 5, Figure 2) rejects the null decisively: t(69) = 4.884, p = 6.47e-06. The 95% confidence interval for the mean, [340.73, 341.73] g, excludes the target, and Cohen's d = 0.58 indicates a medium standardized effect. The Wilcoxon signed-rank test agrees (W = 404.5, p = 7.50e-06), confirming the result does not depend on the normality assumption. Achieved power at the observed effect exceeds 0.99.</w:t>
      </w:r>
    </w:p>
    <w:p>
      <w:pPr>
        <w:spacing w:before="160"/>
      </w:pPr>
      <w:r>
        <w:rPr>
          <w:b/>
          <w:color w:val="1A2138"/>
          <w:sz w:val="19"/>
        </w:rPr>
        <w:t>Table 5. Primary and sensitivity test results for H₀: μ = 340 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Statistic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df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p-value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Effect / interval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One-sample t (two-sided)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t = 4.884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69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6.47e-06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 = 0.58; 95% CI [340.73, 341.73] 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Wilcoxon signed-rank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 = 404.5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7.50e-06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distribution-free confirmation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7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coffee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7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77"/>
          <w:sz w:val="18"/>
        </w:rPr>
        <w:t>Figure 2. Cleaned net weights with the sample mean and its 95% confidence interval (shaded) relative to the 340 g target (dashed). The interval lies entirely above target.</w:t>
      </w:r>
    </w:p>
    <w:p>
      <w:pPr>
        <w:spacing w:after="120"/>
        <w:jc w:val="both"/>
      </w:pPr>
      <w:r>
        <w:t>Practical magnitude. The estimated positive bias of 1.23 g per bag is about 0.4% of the declared weight. Although negligible per unit, over a production run of one million bags it corresponds to approximately 1,229 kg of coffee dispensed beyond the declared quantity.</w:t>
      </w:r>
    </w:p>
    <w:p>
      <w:r>
        <w:rPr>
          <w:b/>
          <w:color w:val="1A2138"/>
          <w:sz w:val="25"/>
        </w:rPr>
        <w:t>5. Discussion</w:t>
      </w:r>
    </w:p>
    <w:p>
      <w:pPr>
        <w:spacing w:after="120"/>
        <w:jc w:val="both"/>
      </w:pPr>
      <w:r>
        <w:t>The filling process is centered above its target by a small, statistically unambiguous margin. The distinction between statistical and practical significance is instructive here: the effect is both significant (p &lt; 0.001) and, aggregated across volume, economically meaningful, yet it is immaterial for any single unit and never results in under-declaration. Reporting the confidence interval alongside the p-value is essential, since it localizes the bias to roughly 0.7–1.7 g above target rather than merely asserting non-conformance.</w:t>
      </w:r>
    </w:p>
    <w:p>
      <w:pPr>
        <w:spacing w:after="120"/>
        <w:jc w:val="both"/>
      </w:pPr>
      <w:r>
        <w:t>Several limitations qualify the inference. First, the sample derives from a single production day and two lines; if QC sampling is preferentially timed (e.g., shortly after calibration), the estimate may understate the operating bias, and a claim about the process as a whole requires sampling that spans machine states and days. Second, the analysis is only as reliable as the weighing instrument; a scale with a positive offset would manufacture an apparent bias, so metrological traceability to a certified mass is a precondition for action. Third, the result characterizes central tendency and says nothing about the tails, which govern the probability of individual under-fills under a shifted target.</w:t>
      </w:r>
    </w:p>
    <w:p>
      <w:pPr>
        <w:spacing w:after="120"/>
        <w:jc w:val="both"/>
      </w:pPr>
      <w:r>
        <w:t>Recommendation. Given the asymmetric costs, a conservative adjustment of the fill target toward approximately 340.5 g would recover most of the systematic give-away while retaining a comfortable margin above the declared weight. Targeting 340 g exactly is inadvisable, as it would place roughly half of future units below the label, contravening net-content requirements.</w:t>
      </w:r>
    </w:p>
    <w:p>
      <w:r>
        <w:rPr>
          <w:b/>
          <w:color w:val="1A2138"/>
          <w:sz w:val="25"/>
        </w:rPr>
        <w:t>6. Conclusion</w:t>
      </w:r>
    </w:p>
    <w:p>
      <w:pPr>
        <w:spacing w:after="120"/>
        <w:jc w:val="both"/>
      </w:pPr>
      <w:r>
        <w:t>Mean net fill weight significantly exceeds the 340 g target by about 1.2 g (t(69) = 4.88, p &lt; 0.001, 95% CI [340.73, 341.73] g, d = 0.58), a finding robust to a distribution-free check. The bias is one-directional and consumer-safe but economically material at scale, motivating a modest downward recalibration.</w:t>
      </w:r>
    </w:p>
    <w:p>
      <w:r>
        <w:rPr>
          <w:b/>
          <w:color w:val="1A2138"/>
          <w:sz w:val="25"/>
        </w:rPr>
        <w:t>References</w:t>
      </w:r>
    </w:p>
    <w:p>
      <w:pPr>
        <w:ind w:left="432" w:hanging="432"/>
      </w:pPr>
      <w:r>
        <w:rPr>
          <w:sz w:val="19"/>
        </w:rPr>
        <w:t>Student (1908). The probable error of a mean. Biometrika, 6(1), 1–25.</w:t>
      </w:r>
    </w:p>
    <w:p>
      <w:pPr>
        <w:ind w:left="432" w:hanging="432"/>
      </w:pPr>
      <w:r>
        <w:rPr>
          <w:sz w:val="19"/>
        </w:rPr>
        <w:t>Shapiro, S. S., &amp; Wilk, M. B. (1965). An analysis of variance test for normality (complete samples). Biometrika, 52(3–4), 591–611.</w:t>
      </w:r>
    </w:p>
    <w:p>
      <w:pPr>
        <w:ind w:left="432" w:hanging="432"/>
      </w:pPr>
      <w:r>
        <w:rPr>
          <w:sz w:val="19"/>
        </w:rPr>
        <w:t>Wilcoxon, F. (1945). Individual comparisons by ranking methods. Biometrics Bulletin, 1(6), 80–83.</w:t>
      </w:r>
    </w:p>
    <w:p>
      <w:pPr>
        <w:ind w:left="432" w:hanging="432"/>
      </w:pPr>
      <w:r>
        <w:rPr>
          <w:sz w:val="19"/>
        </w:rPr>
        <w:t>Cohen, J. (1988). Statistical Power Analysis for the Behavioral Sciences (2nd ed.). Lawrence Erlbaum.</w:t>
      </w:r>
    </w:p>
    <w:p>
      <w:pPr>
        <w:ind w:left="432" w:hanging="432"/>
      </w:pPr>
      <w:r>
        <w:rPr>
          <w:sz w:val="19"/>
        </w:rPr>
        <w:t>NIST (2023). Handbook 133: Checking the Net Contents of Packaged Goods. National Institute of Standards and Technology.</w:t>
      </w:r>
    </w:p>
    <w:p>
      <w:r>
        <w:rPr>
          <w:b/>
          <w:color w:val="1A2138"/>
          <w:sz w:val="25"/>
        </w:rPr>
        <w:t>Reproducibility</w:t>
      </w:r>
    </w:p>
    <w:p>
      <w:pPr>
        <w:spacing w:after="120"/>
        <w:jc w:val="both"/>
      </w:pPr>
      <w:r>
        <w:t>The dataset (capstone-coffee-fill-weight.xlsx) and a fully executable notebook that regenerates every statistic, table, and figure in this report are distributed with the chapter. All analyses use open-source Python libraries (NumPy, pandas, SciPy, statsmodels, Matplotlib).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