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E123C"/>
        </w:rPr>
        <w:t>Quarterly Sales Performance, 2024</w:t>
      </w:r>
    </w:p>
    <w:p>
      <w:r>
        <w:rPr>
          <w:i/>
          <w:color w:val="64748B"/>
        </w:rPr>
        <w:t>Prepared for the leadership team  |  Confidential</w:t>
      </w:r>
    </w:p>
    <w:p>
      <w:pPr>
        <w:pStyle w:val="Heading1"/>
      </w:pPr>
      <w:r>
        <w:rPr>
          <w:color w:val="BE123C"/>
        </w:rPr>
        <w:t>Bottom line</w:t>
      </w:r>
    </w:p>
    <w:p>
      <w:r>
        <w:t>Revenue reached $2.15M in 2024, up 12% from the first quarter to the fourth. Growth was broad but uneven: North is now a third larger than Central. We recommend shifting a share of Q1 marketing spend toward Central and South to close the regional gap.</w:t>
      </w:r>
    </w:p>
    <w:p>
      <w:pPr>
        <w:pStyle w:val="Heading1"/>
      </w:pPr>
      <w:r>
        <w:rPr>
          <w:color w:val="BE123C"/>
        </w:rPr>
        <w:t>The numbers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Total revenue</w:t>
            </w:r>
          </w:p>
        </w:tc>
        <w:tc>
          <w:tcPr>
            <w:tcW w:type="dxa" w:w="4680"/>
          </w:tcPr>
          <w:p>
            <w:r>
              <w:t>$2,154,938</w:t>
            </w:r>
          </w:p>
        </w:tc>
      </w:tr>
      <w:tr>
        <w:tc>
          <w:tcPr>
            <w:tcW w:type="dxa" w:w="4680"/>
          </w:tcPr>
          <w:p>
            <w:r>
              <w:t>Orders</w:t>
            </w:r>
          </w:p>
        </w:tc>
        <w:tc>
          <w:tcPr>
            <w:tcW w:type="dxa" w:w="4680"/>
          </w:tcPr>
          <w:p>
            <w:r>
              <w:t>22,576</w:t>
            </w:r>
          </w:p>
        </w:tc>
      </w:tr>
      <w:tr>
        <w:tc>
          <w:tcPr>
            <w:tcW w:type="dxa" w:w="4680"/>
          </w:tcPr>
          <w:p>
            <w:r>
              <w:t>Average order value</w:t>
            </w:r>
          </w:p>
        </w:tc>
        <w:tc>
          <w:tcPr>
            <w:tcW w:type="dxa" w:w="4680"/>
          </w:tcPr>
          <w:p>
            <w:r>
              <w:t>$95.45</w:t>
            </w:r>
          </w:p>
        </w:tc>
      </w:tr>
      <w:tr>
        <w:tc>
          <w:tcPr>
            <w:tcW w:type="dxa" w:w="4680"/>
          </w:tcPr>
          <w:p>
            <w:r>
              <w:t>Q4 vs Q1 growth</w:t>
            </w:r>
          </w:p>
        </w:tc>
        <w:tc>
          <w:tcPr>
            <w:tcW w:type="dxa" w:w="4680"/>
          </w:tcPr>
          <w:p>
            <w:r>
              <w:t>+12%</w:t>
            </w:r>
          </w:p>
        </w:tc>
      </w:tr>
      <w:tr>
        <w:tc>
          <w:tcPr>
            <w:tcW w:type="dxa" w:w="4680"/>
          </w:tcPr>
          <w:p>
            <w:r>
              <w:t>Top region</w:t>
            </w:r>
          </w:p>
        </w:tc>
        <w:tc>
          <w:tcPr>
            <w:tcW w:type="dxa" w:w="4680"/>
          </w:tcPr>
          <w:p>
            <w:r>
              <w:t>North</w:t>
            </w:r>
          </w:p>
        </w:tc>
      </w:tr>
    </w:tbl>
    <w:p>
      <w:pPr>
        <w:pStyle w:val="Heading1"/>
      </w:pPr>
      <w:r>
        <w:rPr>
          <w:color w:val="BE123C"/>
        </w:rPr>
        <w:t>Revenue trend and regional split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15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BE123C"/>
        </w:rPr>
        <w:t>What we found</w:t>
      </w:r>
    </w:p>
    <w:p>
      <w:pPr>
        <w:pStyle w:val="ListBullet"/>
      </w:pPr>
      <w:r>
        <w:t>Revenue rose every quarter, from $510k in Q1 to $571k in Q4.</w:t>
      </w:r>
    </w:p>
    <w:p>
      <w:pPr>
        <w:pStyle w:val="ListBullet"/>
      </w:pPr>
      <w:r>
        <w:t>North ($536k) and West ($489k) drove over 45% of revenue.</w:t>
      </w:r>
    </w:p>
    <w:p>
      <w:pPr>
        <w:pStyle w:val="ListBullet"/>
      </w:pPr>
      <w:r>
        <w:t>Central ($327k) remains the clear laggard and the biggest upside.</w:t>
      </w:r>
    </w:p>
    <w:p>
      <w:pPr>
        <w:pStyle w:val="Heading1"/>
      </w:pPr>
      <w:r>
        <w:rPr>
          <w:color w:val="BE123C"/>
        </w:rPr>
        <w:t>Recommendation</w:t>
      </w:r>
    </w:p>
    <w:p>
      <w:r>
        <w:t>Rebalance a portion of marketing investment toward the underperforming Central and South regions in Q1 2025, and set a target of narrowing the North-to-Central revenue gap from 39% to under 25%.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