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BE123C"/>
        </w:rPr>
        <w:t>A/B Test Readout: New Checkout Flow</w:t>
      </w:r>
    </w:p>
    <w:p>
      <w:r>
        <w:rPr>
          <w:i/>
          <w:color w:val="64748B"/>
        </w:rPr>
        <w:t>Experiment ran 2 weeks  |  Owner: Growth team</w:t>
      </w:r>
    </w:p>
    <w:p>
      <w:pPr>
        <w:pStyle w:val="Heading1"/>
      </w:pPr>
      <w:r>
        <w:rPr>
          <w:color w:val="BE123C"/>
        </w:rPr>
        <w:t>Decision</w:t>
      </w:r>
    </w:p>
    <w:p>
      <w:r>
        <w:rPr>
          <w:b/>
          <w:sz w:val="26"/>
        </w:rPr>
        <w:t>SHIP the new checkout.</w:t>
      </w:r>
    </w:p>
    <w:p>
      <w:r>
        <w:t>The new checkout lifted conversion from 8.1% to 9.4%, a 16% relative gain. The result is statistically significant (p = 0.012) and the plausible effect stays positive.</w:t>
      </w:r>
    </w:p>
    <w:p>
      <w:pPr>
        <w:pStyle w:val="Heading1"/>
      </w:pPr>
      <w:r>
        <w:rPr>
          <w:color w:val="BE123C"/>
        </w:rPr>
        <w:t>Method</w:t>
      </w:r>
    </w:p>
    <w:p>
      <w:r>
        <w:t>Visitors were randomly split between the current checkout (A) and a redesigned flow (B), 6,000 per arm. Success is a completed purchase. We compare conversion rates with a two-proportion z-test and report a 95% confidence interval on the difference.</w:t>
      </w:r>
    </w:p>
    <w:p>
      <w:pPr>
        <w:pStyle w:val="Heading1"/>
      </w:pPr>
      <w:r>
        <w:rPr>
          <w:color w:val="BE123C"/>
        </w:rPr>
        <w:t>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Group</w:t>
            </w:r>
          </w:p>
        </w:tc>
        <w:tc>
          <w:tcPr>
            <w:tcW w:type="dxa" w:w="2340"/>
          </w:tcPr>
          <w:p>
            <w:r>
              <w:rPr>
                <w:b/>
              </w:rPr>
              <w:t>Visitors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Conversions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Rate</w:t>
            </w:r>
          </w:p>
        </w:tc>
      </w:tr>
      <w:tr>
        <w:tc>
          <w:tcPr>
            <w:tcW w:type="dxa" w:w="2340"/>
          </w:tcPr>
          <w:p>
            <w:r>
              <w:t>A (control)</w:t>
            </w:r>
          </w:p>
        </w:tc>
        <w:tc>
          <w:tcPr>
            <w:tcW w:type="dxa" w:w="2340"/>
          </w:tcPr>
          <w:p>
            <w:r>
              <w:t>6,000</w:t>
            </w:r>
          </w:p>
        </w:tc>
        <w:tc>
          <w:tcPr>
            <w:tcW w:type="dxa" w:w="2340"/>
          </w:tcPr>
          <w:p>
            <w:r>
              <w:t>486</w:t>
            </w:r>
          </w:p>
        </w:tc>
        <w:tc>
          <w:tcPr>
            <w:tcW w:type="dxa" w:w="2340"/>
          </w:tcPr>
          <w:p>
            <w:r>
              <w:t>8.1%</w:t>
            </w:r>
          </w:p>
        </w:tc>
      </w:tr>
      <w:tr>
        <w:tc>
          <w:tcPr>
            <w:tcW w:type="dxa" w:w="2340"/>
          </w:tcPr>
          <w:p>
            <w:r>
              <w:t>B (new checkout)</w:t>
            </w:r>
          </w:p>
        </w:tc>
        <w:tc>
          <w:tcPr>
            <w:tcW w:type="dxa" w:w="2340"/>
          </w:tcPr>
          <w:p>
            <w:r>
              <w:t>6,000</w:t>
            </w:r>
          </w:p>
        </w:tc>
        <w:tc>
          <w:tcPr>
            <w:tcW w:type="dxa" w:w="2340"/>
          </w:tcPr>
          <w:p>
            <w:r>
              <w:t>564</w:t>
            </w:r>
          </w:p>
        </w:tc>
        <w:tc>
          <w:tcPr>
            <w:tcW w:type="dxa" w:w="2340"/>
          </w:tcPr>
          <w:p>
            <w:r>
              <w:t>9.4%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25739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573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Relative lift +16%. Two-proportion z = 2.52, p = 0.012. 95% confidence interval on the absolute difference: [+0.29%, +2.31%].</w:t>
      </w:r>
    </w:p>
    <w:p>
      <w:pPr>
        <w:pStyle w:val="Heading1"/>
      </w:pPr>
      <w:r>
        <w:rPr>
          <w:color w:val="BE123C"/>
        </w:rPr>
        <w:t>Caveats</w:t>
      </w:r>
    </w:p>
    <w:p>
      <w:pPr>
        <w:pStyle w:val="ListBullet"/>
      </w:pPr>
      <w:r>
        <w:t>The test ran for two weeks; a longer window would confirm the effect holds beyond a novelty bump.</w:t>
      </w:r>
    </w:p>
    <w:p>
      <w:pPr>
        <w:pStyle w:val="ListBullet"/>
      </w:pPr>
      <w:r>
        <w:t>Conversion is the only metric here; monitor refunds and support tickets after rollout.</w:t>
      </w:r>
    </w:p>
    <w:p>
      <w:pPr>
        <w:pStyle w:val="ListBullet"/>
      </w:pPr>
      <w:r>
        <w:t>The interval is comfortably above zero, but the lower bound is modest, so treat the point estimate as optimistic.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