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Revenue by Region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Growth</w:t>
            </w:r>
          </w:p>
        </w:tc>
      </w:tr>
      <w:tr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$535,879</w:t>
            </w:r>
          </w:p>
        </w:tc>
        <w:tc>
          <w:tcPr>
            <w:tcW w:type="dxa" w:w="2160"/>
          </w:tcPr>
          <w:p>
            <w:r>
              <w:t>24.9%</w:t>
            </w:r>
          </w:p>
        </w:tc>
        <w:tc>
          <w:tcPr>
            <w:tcW w:type="dxa" w:w="2160"/>
          </w:tcPr>
          <w:p>
            <w:r>
              <w:t>+14%</w:t>
            </w:r>
          </w:p>
        </w:tc>
      </w:tr>
      <w:tr>
        <w:tc>
          <w:tcPr>
            <w:tcW w:type="dxa" w:w="2160"/>
          </w:tcPr>
          <w:p>
            <w:r>
              <w:t>West</w:t>
            </w:r>
          </w:p>
        </w:tc>
        <w:tc>
          <w:tcPr>
            <w:tcW w:type="dxa" w:w="2160"/>
          </w:tcPr>
          <w:p>
            <w:r>
              <w:t>$489,393</w:t>
            </w:r>
          </w:p>
        </w:tc>
        <w:tc>
          <w:tcPr>
            <w:tcW w:type="dxa" w:w="2160"/>
          </w:tcPr>
          <w:p>
            <w:r>
              <w:t>22.7%</w:t>
            </w:r>
          </w:p>
        </w:tc>
        <w:tc>
          <w:tcPr>
            <w:tcW w:type="dxa" w:w="2160"/>
          </w:tcPr>
          <w:p>
            <w:r>
              <w:t>+11%</w:t>
            </w:r>
          </w:p>
        </w:tc>
      </w:tr>
      <w:tr>
        <w:tc>
          <w:tcPr>
            <w:tcW w:type="dxa" w:w="2160"/>
          </w:tcPr>
          <w:p>
            <w:r>
              <w:t>East</w:t>
            </w:r>
          </w:p>
        </w:tc>
        <w:tc>
          <w:tcPr>
            <w:tcW w:type="dxa" w:w="2160"/>
          </w:tcPr>
          <w:p>
            <w:r>
              <w:t>$422,289</w:t>
            </w:r>
          </w:p>
        </w:tc>
        <w:tc>
          <w:tcPr>
            <w:tcW w:type="dxa" w:w="2160"/>
          </w:tcPr>
          <w:p>
            <w:r>
              <w:t>19.6%</w:t>
            </w:r>
          </w:p>
        </w:tc>
        <w:tc>
          <w:tcPr>
            <w:tcW w:type="dxa" w:w="2160"/>
          </w:tcPr>
          <w:p>
            <w:r>
              <w:t>+9%</w:t>
            </w:r>
          </w:p>
        </w:tc>
      </w:tr>
      <w:tr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$379,930</w:t>
            </w:r>
          </w:p>
        </w:tc>
        <w:tc>
          <w:tcPr>
            <w:tcW w:type="dxa" w:w="2160"/>
          </w:tcPr>
          <w:p>
            <w:r>
              <w:t>17.6%</w:t>
            </w:r>
          </w:p>
        </w:tc>
        <w:tc>
          <w:tcPr>
            <w:tcW w:type="dxa" w:w="2160"/>
          </w:tcPr>
          <w:p>
            <w:r>
              <w:t>+7%</w:t>
            </w:r>
          </w:p>
        </w:tc>
      </w:tr>
      <w:tr>
        <w:tc>
          <w:tcPr>
            <w:tcW w:type="dxa" w:w="2160"/>
          </w:tcPr>
          <w:p>
            <w:r>
              <w:t>Central</w:t>
            </w:r>
          </w:p>
        </w:tc>
        <w:tc>
          <w:tcPr>
            <w:tcW w:type="dxa" w:w="2160"/>
          </w:tcPr>
          <w:p>
            <w:r>
              <w:t>$327,447</w:t>
            </w:r>
          </w:p>
        </w:tc>
        <w:tc>
          <w:tcPr>
            <w:tcW w:type="dxa" w:w="2160"/>
          </w:tcPr>
          <w:p>
            <w:r>
              <w:t>15.2%</w:t>
            </w:r>
          </w:p>
        </w:tc>
        <w:tc>
          <w:tcPr>
            <w:tcW w:type="dxa" w:w="2160"/>
          </w:tcPr>
          <w:p>
            <w:r>
              <w:t>+5%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