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 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Growth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$535,879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  <w:tc>
          <w:tcPr>
            <w:tcW w:type="dxa" w:w="2160"/>
          </w:tcPr>
          <w:p>
            <w:r>
              <w:t>+14%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$489,393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  <w:tc>
          <w:tcPr>
            <w:tcW w:type="dxa" w:w="2160"/>
          </w:tcPr>
          <w:p>
            <w:r>
              <w:t>+11%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$422,289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$379,930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  <w:tc>
          <w:tcPr>
            <w:tcW w:type="dxa" w:w="2160"/>
          </w:tcPr>
          <w:p>
            <w:r>
              <w:t>+7%</w:t>
            </w:r>
          </w:p>
        </w:tc>
      </w:tr>
      <w:tr>
        <w:tc>
          <w:tcPr>
            <w:tcW w:type="dxa" w:w="2160"/>
          </w:tcPr>
          <w:p>
            <w:r>
              <w:t>Central</w:t>
            </w:r>
          </w:p>
        </w:tc>
        <w:tc>
          <w:tcPr>
            <w:tcW w:type="dxa" w:w="2160"/>
          </w:tcPr>
          <w:p>
            <w:r>
              <w:t>$327,447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