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BE123C"/>
        </w:rPr>
        <w:t>Drivers of Customer Satisfaction</w:t>
      </w:r>
    </w:p>
    <w:p>
      <w:r>
        <w:rPr>
          <w:i/>
          <w:color w:val="64748B"/>
        </w:rPr>
        <w:t>Analytics team  |  Survey of 320 customers</w:t>
      </w:r>
    </w:p>
    <w:p>
      <w:pPr>
        <w:pStyle w:val="Heading1"/>
      </w:pPr>
      <w:r>
        <w:rPr>
          <w:color w:val="BE123C"/>
        </w:rPr>
        <w:t>Summary</w:t>
      </w:r>
    </w:p>
    <w:p>
      <w:r>
        <w:t>Across 320 respondents, four service factors explain 84% of the variation in satisfaction. The strongest lever is ease of use (each 1-point gain adds 3.8 points of satisfaction), followed by support quality. Long wait times are the only factor that lowers it. Investment in ease of use offers the largest expected return.</w:t>
      </w:r>
    </w:p>
    <w:p>
      <w:pPr>
        <w:pStyle w:val="Heading1"/>
      </w:pPr>
      <w:r>
        <w:rPr>
          <w:color w:val="BE123C"/>
        </w:rPr>
        <w:t>Data and method</w:t>
      </w:r>
    </w:p>
    <w:p>
      <w:r>
        <w:t>Respondents rated overall satisfaction from 0 to 100 and four drivers from 1 to 10. We fit an ordinary least squares regression of satisfaction on all four drivers simultaneously, so each coefficient is the effect of that driver holding the others constant.</w:t>
      </w:r>
    </w:p>
    <w:p>
      <w:pPr>
        <w:pStyle w:val="Heading1"/>
      </w:pPr>
      <w:r>
        <w:rPr>
          <w:color w:val="BE123C"/>
        </w:rPr>
        <w:t>Results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Driver</w:t>
            </w:r>
          </w:p>
        </w:tc>
        <w:tc>
          <w:tcPr>
            <w:tcW w:type="dxa" w:w="2340"/>
          </w:tcPr>
          <w:p>
            <w:r>
              <w:rPr>
                <w:b/>
              </w:rPr>
              <w:t>Coefficient</w:t>
            </w:r>
          </w:p>
        </w:tc>
        <w:tc>
          <w:tcPr>
            <w:tcW w:type="dxa" w:w="2340"/>
          </w:tcPr>
          <w:p>
            <w:r>
              <w:rPr>
                <w:b/>
              </w:rPr>
              <w:t>Std. error</w:t>
            </w:r>
          </w:p>
        </w:tc>
        <w:tc>
          <w:tcPr>
            <w:tcW w:type="dxa" w:w="2340"/>
          </w:tcPr>
          <w:p>
            <w:r>
              <w:rPr>
                <w:b/>
              </w:rPr>
              <w:t>p-value</w:t>
            </w:r>
          </w:p>
        </w:tc>
      </w:tr>
      <w:tr>
        <w:tc>
          <w:tcPr>
            <w:tcW w:type="dxa" w:w="2340"/>
          </w:tcPr>
          <w:p>
            <w:r>
              <w:t>Intercept</w:t>
            </w:r>
          </w:p>
        </w:tc>
        <w:tc>
          <w:tcPr>
            <w:tcW w:type="dxa" w:w="2340"/>
          </w:tcPr>
          <w:p>
            <w:r>
              <w:t>+28.03</w:t>
            </w:r>
          </w:p>
        </w:tc>
        <w:tc>
          <w:tcPr>
            <w:tcW w:type="dxa" w:w="2340"/>
          </w:tcPr>
          <w:p>
            <w:r>
              <w:t>1.33</w:t>
            </w:r>
          </w:p>
        </w:tc>
        <w:tc>
          <w:tcPr>
            <w:tcW w:type="dxa" w:w="2340"/>
          </w:tcPr>
          <w:p>
            <w:r>
              <w:t>0.000</w:t>
            </w:r>
          </w:p>
        </w:tc>
      </w:tr>
      <w:tr>
        <w:tc>
          <w:tcPr>
            <w:tcW w:type="dxa" w:w="2340"/>
          </w:tcPr>
          <w:p>
            <w:r>
              <w:t>ease of use</w:t>
            </w:r>
          </w:p>
        </w:tc>
        <w:tc>
          <w:tcPr>
            <w:tcW w:type="dxa" w:w="2340"/>
          </w:tcPr>
          <w:p>
            <w:r>
              <w:t>+3.82</w:t>
            </w:r>
          </w:p>
        </w:tc>
        <w:tc>
          <w:tcPr>
            <w:tcW w:type="dxa" w:w="2340"/>
          </w:tcPr>
          <w:p>
            <w:r>
              <w:t>0.12</w:t>
            </w:r>
          </w:p>
        </w:tc>
        <w:tc>
          <w:tcPr>
            <w:tcW w:type="dxa" w:w="2340"/>
          </w:tcPr>
          <w:p>
            <w:r>
              <w:t>0.000</w:t>
            </w:r>
          </w:p>
        </w:tc>
      </w:tr>
      <w:tr>
        <w:tc>
          <w:tcPr>
            <w:tcW w:type="dxa" w:w="2340"/>
          </w:tcPr>
          <w:p>
            <w:r>
              <w:t>support quality</w:t>
            </w:r>
          </w:p>
        </w:tc>
        <w:tc>
          <w:tcPr>
            <w:tcW w:type="dxa" w:w="2340"/>
          </w:tcPr>
          <w:p>
            <w:r>
              <w:t>+2.37</w:t>
            </w:r>
          </w:p>
        </w:tc>
        <w:tc>
          <w:tcPr>
            <w:tcW w:type="dxa" w:w="2340"/>
          </w:tcPr>
          <w:p>
            <w:r>
              <w:t>0.11</w:t>
            </w:r>
          </w:p>
        </w:tc>
        <w:tc>
          <w:tcPr>
            <w:tcW w:type="dxa" w:w="2340"/>
          </w:tcPr>
          <w:p>
            <w:r>
              <w:t>0.000</w:t>
            </w:r>
          </w:p>
        </w:tc>
      </w:tr>
      <w:tr>
        <w:tc>
          <w:tcPr>
            <w:tcW w:type="dxa" w:w="2340"/>
          </w:tcPr>
          <w:p>
            <w:r>
              <w:t>price fairness</w:t>
            </w:r>
          </w:p>
        </w:tc>
        <w:tc>
          <w:tcPr>
            <w:tcW w:type="dxa" w:w="2340"/>
          </w:tcPr>
          <w:p>
            <w:r>
              <w:t>+1.51</w:t>
            </w:r>
          </w:p>
        </w:tc>
        <w:tc>
          <w:tcPr>
            <w:tcW w:type="dxa" w:w="2340"/>
          </w:tcPr>
          <w:p>
            <w:r>
              <w:t>0.11</w:t>
            </w:r>
          </w:p>
        </w:tc>
        <w:tc>
          <w:tcPr>
            <w:tcW w:type="dxa" w:w="2340"/>
          </w:tcPr>
          <w:p>
            <w:r>
              <w:t>0.000</w:t>
            </w:r>
          </w:p>
        </w:tc>
      </w:tr>
      <w:tr>
        <w:tc>
          <w:tcPr>
            <w:tcW w:type="dxa" w:w="2340"/>
          </w:tcPr>
          <w:p>
            <w:r>
              <w:t>wait time</w:t>
            </w:r>
          </w:p>
        </w:tc>
        <w:tc>
          <w:tcPr>
            <w:tcW w:type="dxa" w:w="2340"/>
          </w:tcPr>
          <w:p>
            <w:r>
              <w:t>-0.90</w:t>
            </w:r>
          </w:p>
        </w:tc>
        <w:tc>
          <w:tcPr>
            <w:tcW w:type="dxa" w:w="2340"/>
          </w:tcPr>
          <w:p>
            <w:r>
              <w:t>0.11</w:t>
            </w:r>
          </w:p>
        </w:tc>
        <w:tc>
          <w:tcPr>
            <w:tcW w:type="dxa" w:w="2340"/>
          </w:tcPr>
          <w:p>
            <w:r>
              <w:t>0.000</w:t>
            </w:r>
          </w:p>
        </w:tc>
      </w:tr>
    </w:tbl>
    <w:p>
      <w:pPr>
        <w:jc w:val="center"/>
      </w:pPr>
      <w:r>
        <w:drawing>
          <wp:inline xmlns:a="http://schemas.openxmlformats.org/drawingml/2006/main" xmlns:pic="http://schemas.openxmlformats.org/drawingml/2006/picture">
            <wp:extent cx="5760720" cy="2276755"/>
            <wp:docPr id="1" name="Picture 1"/>
            <wp:cNvGraphicFramePr>
              <a:graphicFrameLocks noChangeAspect="1"/>
            </wp:cNvGraphicFramePr>
            <a:graphic>
              <a:graphicData uri="http://schemas.openxmlformats.org/drawingml/2006/picture">
                <pic:pic>
                  <pic:nvPicPr>
                    <pic:cNvPr id="0" name="fig.png"/>
                    <pic:cNvPicPr/>
                  </pic:nvPicPr>
                  <pic:blipFill>
                    <a:blip r:embed="rId9"/>
                    <a:stretch>
                      <a:fillRect/>
                    </a:stretch>
                  </pic:blipFill>
                  <pic:spPr>
                    <a:xfrm>
                      <a:off x="0" y="0"/>
                      <a:ext cx="5760720" cy="2276755"/>
                    </a:xfrm>
                    <a:prstGeom prst="rect"/>
                  </pic:spPr>
                </pic:pic>
              </a:graphicData>
            </a:graphic>
          </wp:inline>
        </w:drawing>
      </w:r>
    </w:p>
    <w:p>
      <w:pPr>
        <w:jc w:val="center"/>
      </w:pPr>
      <w:r>
        <w:drawing>
          <wp:inline xmlns:a="http://schemas.openxmlformats.org/drawingml/2006/main" xmlns:pic="http://schemas.openxmlformats.org/drawingml/2006/picture">
            <wp:extent cx="5120640" cy="2428345"/>
            <wp:docPr id="2" name="Picture 2"/>
            <wp:cNvGraphicFramePr>
              <a:graphicFrameLocks noChangeAspect="1"/>
            </wp:cNvGraphicFramePr>
            <a:graphic>
              <a:graphicData uri="http://schemas.openxmlformats.org/drawingml/2006/picture">
                <pic:pic>
                  <pic:nvPicPr>
                    <pic:cNvPr id="0" name="fig.png"/>
                    <pic:cNvPicPr/>
                  </pic:nvPicPr>
                  <pic:blipFill>
                    <a:blip r:embed="rId10"/>
                    <a:stretch>
                      <a:fillRect/>
                    </a:stretch>
                  </pic:blipFill>
                  <pic:spPr>
                    <a:xfrm>
                      <a:off x="0" y="0"/>
                      <a:ext cx="5120640" cy="2428345"/>
                    </a:xfrm>
                    <a:prstGeom prst="rect"/>
                  </pic:spPr>
                </pic:pic>
              </a:graphicData>
            </a:graphic>
          </wp:inline>
        </w:drawing>
      </w:r>
    </w:p>
    <w:p>
      <w:pPr>
        <w:pStyle w:val="Heading1"/>
      </w:pPr>
      <w:r>
        <w:rPr>
          <w:color w:val="BE123C"/>
        </w:rPr>
        <w:t>Interpretation</w:t>
      </w:r>
    </w:p>
    <w:p>
      <w:pPr>
        <w:pStyle w:val="ListBullet"/>
      </w:pPr>
      <w:r>
        <w:t>Ease of use and support quality together account for most of the explained variation.</w:t>
      </w:r>
    </w:p>
    <w:p>
      <w:pPr>
        <w:pStyle w:val="ListBullet"/>
      </w:pPr>
      <w:r>
        <w:t>Price fairness matters but less; wait time is the one factor to reduce, not increase.</w:t>
      </w:r>
    </w:p>
    <w:p>
      <w:pPr>
        <w:pStyle w:val="ListBullet"/>
      </w:pPr>
      <w:r>
        <w:t>The model explains 84% of variation (R-squared = 0.84), a strong fit for survey data.</w:t>
      </w:r>
    </w:p>
    <w:p>
      <w:pPr>
        <w:pStyle w:val="Heading1"/>
      </w:pPr>
      <w:r>
        <w:rPr>
          <w:color w:val="BE123C"/>
        </w:rPr>
        <w:t>Limitations</w:t>
      </w:r>
    </w:p>
    <w:p>
      <w:pPr>
        <w:pStyle w:val="ListBullet"/>
      </w:pPr>
      <w:r>
        <w:t>The data is observational, so these are associations, not proven causes.</w:t>
      </w:r>
    </w:p>
    <w:p>
      <w:pPr>
        <w:pStyle w:val="ListBullet"/>
      </w:pPr>
      <w:r>
        <w:t>Drivers are self-reported and may correlate with an overall halo effect.</w:t>
      </w:r>
    </w:p>
    <w:p>
      <w:pPr>
        <w:pStyle w:val="ListBullet"/>
      </w:pPr>
      <w:r>
        <w:t>A single survey wave cannot capture how these relationships shift over time.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