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A2138"/>
          <w:sz w:val="30"/>
        </w:rPr>
        <w:t>Screening Seven Clinical Markers for Association with Heart Disease:</w:t>
        <w:br/>
      </w:r>
      <w:r>
        <w:rPr>
          <w:rFonts w:ascii="Times New Roman" w:hAnsi="Times New Roman"/>
          <w:b/>
          <w:color w:val="1A2138"/>
          <w:sz w:val="30"/>
        </w:rPr>
        <w:t>Effect Sizes under Multiple-Comparison Control</w:t>
      </w:r>
    </w:p>
    <w:p>
      <w:pPr>
        <w:jc w:val="center"/>
      </w:pPr>
      <w:r>
        <w:rPr>
          <w:i/>
          <w:color w:val="555F77"/>
          <w:sz w:val="20"/>
        </w:rPr>
        <w:t>Capstone Technical Report · Statistics, Data Science and AI: A Visual Handbook · John Fisher</w:t>
      </w:r>
    </w:p>
    <w:p>
      <w:pPr>
        <w:ind w:left="432" w:right="432"/>
        <w:jc w:val="both"/>
      </w:pPr>
      <w:r>
        <w:rPr>
          <w:b/>
          <w:sz w:val="20"/>
        </w:rPr>
        <w:t xml:space="preserve">Abstract. </w:t>
      </w:r>
      <w:r>
        <w:rPr>
          <w:sz w:val="20"/>
        </w:rPr>
        <w:t>Objective. To identify which of seven routine clinical markers differ between patients with and without diagnosed heart disease, while controlling the family-wise error rate incurred by testing several markers simultaneously. Methods. In an observational cohort (n = 575; 242 disease, 333 healthy), each marker was compared between groups by Welch's t-test; the seven p-values were corrected by the Bonferroni and Holm procedures. Effect sizes (Cohen's d; point-biserial correlation) were reported. Results. Uncorrected, three markers reached p &lt; 0.05; after correction only two survived: Age (d = 1.34, r_pb = 0.55) and Cholesterol (d = 0.95, r_pb = 0.42), both p &lt; 0.001. Systolic blood pressure was nominally significant (p = 0.021) but had a negligible effect size (d = 0.20) and did not survive correction, an expected false positive given a family-wise error probability of about 30% across seven tests. Conclusions. Only age and cholesterol are defensibly associated with disease status in this cohort. Because the data are observational and age is a plausible confounder of the other markers, a covariate-adjusted model is the appropriate next step; the marginal screen is hypothesis-generating, not confirmatory.</w:t>
      </w:r>
    </w:p>
    <w:p>
      <w:pPr>
        <w:ind w:left="432"/>
      </w:pPr>
      <w:r>
        <w:rPr>
          <w:b/>
          <w:sz w:val="19"/>
        </w:rPr>
        <w:t xml:space="preserve">Keywords: </w:t>
      </w:r>
      <w:r>
        <w:rPr>
          <w:i/>
          <w:sz w:val="19"/>
        </w:rPr>
        <w:t>multiple comparisons; family-wise error rate; Bonferroni; Holm; effect size; confounding; observational study.</w:t>
      </w:r>
    </w:p>
    <w:p>
      <w:pPr>
        <w:spacing w:before="200"/>
      </w:pPr>
      <w:r>
        <w:rPr>
          <w:b/>
          <w:color w:val="1A2138"/>
          <w:sz w:val="25"/>
        </w:rPr>
        <w:t>1. Introduction</w:t>
      </w:r>
    </w:p>
    <w:p>
      <w:pPr>
        <w:spacing w:after="120"/>
        <w:jc w:val="both"/>
      </w:pPr>
      <w:r>
        <w:t>Screening a panel of markers against a single outcome is efficient but statistically hazardous: each test carries its own type-I error probability, so the chance that at least one null marker is declared significant grows rapidly with the number of tests. For k independent tests at level alpha, the family-wise error rate (FWER) is 1 - (1 - alpha)^k, which for alpha = 0.05 and k = 7 equals about 30%. This report screens seven markers for association with heart-disease status and applies multiplicity control so that the reported discoveries are credible rather than artifacts of volume.</w:t>
      </w:r>
    </w:p>
    <w:p>
      <w:pPr>
        <w:spacing w:before="200"/>
      </w:pPr>
      <w:r>
        <w:rPr>
          <w:b/>
          <w:color w:val="1A2138"/>
          <w:sz w:val="25"/>
        </w:rPr>
        <w:t>2. Data</w:t>
      </w:r>
    </w:p>
    <w:p>
      <w:pPr>
        <w:spacing w:after="120"/>
        <w:jc w:val="both"/>
      </w:pPr>
      <w:r>
        <w:t>The observational cohort records seven continuous markers and a binary heart-disease diagnosis per patient. After removing duplicate records and values outside clinically plausible ranges, and dropping records with missing markers, n = 575 patients remained (242 with disease, 333 healthy). Marker ranges used for cleaning were: Age 18–100; BMI 12–70; Systolic_BP 70–250; Diastolic_BP 40–150; Cholesterol 80–450; Glucose 50–400; Heart_Rate 35–200.</w:t>
      </w:r>
    </w:p>
    <w:p>
      <w:pPr>
        <w:spacing w:before="160"/>
      </w:pPr>
      <w:r>
        <w:rPr>
          <w:b/>
          <w:color w:val="1A2138"/>
          <w:sz w:val="19"/>
        </w:rPr>
        <w:t>Table 1. Data-cleaning provenance.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Step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Rule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Removed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Remaining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Raw export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603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De-duplication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drop duplicate rows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600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Range + missing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plausible ranges; complete markers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575</w:t>
            </w:r>
          </w:p>
        </w:tc>
      </w:tr>
    </w:tbl>
    <w:p>
      <w:pPr>
        <w:spacing w:before="200"/>
      </w:pPr>
      <w:r>
        <w:rPr>
          <w:b/>
          <w:color w:val="1A2138"/>
          <w:sz w:val="25"/>
        </w:rPr>
        <w:t>3. Methods</w:t>
      </w:r>
    </w:p>
    <w:p>
      <w:pPr>
        <w:spacing w:after="120"/>
        <w:jc w:val="both"/>
      </w:pPr>
      <w:r>
        <w:t>For each marker, the two groups (disease vs healthy) were compared by Welch's unequal-variance t-test; at several hundred observations per group the Central Limit Theorem renders this robust. Effect sizes were Cohen's d (pooled) and the point-biserial correlation between the binary outcome and each marker, which is algebraically equivalent to the t-based comparison and quantifies association on the correlation scale. The seven resulting p-values were adjusted for multiplicity by the Bonferroni procedure (reject if p &lt; alpha/k) and by Holm's step-down procedure, which controls the FWER with greater power. Analyses used SciPy and statsmodels in Python 3.</w:t>
      </w:r>
    </w:p>
    <w:p>
      <w:pPr>
        <w:spacing w:before="200"/>
      </w:pPr>
      <w:r>
        <w:rPr>
          <w:b/>
          <w:color w:val="1A2138"/>
          <w:sz w:val="25"/>
        </w:rPr>
        <w:t>4. Results</w:t>
      </w:r>
    </w:p>
    <w:p>
      <w:pPr>
        <w:spacing w:after="120"/>
        <w:jc w:val="both"/>
      </w:pPr>
      <w:r>
        <w:t>The clinical dashboard (Figure 1) previews the result: only age and cholesterol visibly separate the groups, and in the correlation matrix the Disease row shows Age at 0.55 and Cholesterol at 0.42 against near-zero values elsewhere. Table 2 gives the formal screen, ranked by effect size.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4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-heart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77"/>
          <w:sz w:val="18"/>
        </w:rPr>
        <w:t>Figure 1. Clinical dashboard: age by disease status, BMI vs systolic BP, standardized marker boxplots by group, and the correlation matrix (including the Disease label).</w:t>
      </w:r>
    </w:p>
    <w:p>
      <w:pPr>
        <w:spacing w:before="160"/>
      </w:pPr>
      <w:r>
        <w:rPr>
          <w:b/>
          <w:color w:val="1A2138"/>
          <w:sz w:val="19"/>
        </w:rPr>
        <w:t>Table 2. Two-group screen for all seven markers, ranked by effect size. Bonferroni threshold = 0.05/7 = 0.0071.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/>
            <w:r>
              <w:rPr>
                <w:b/>
                <w:sz w:val="19"/>
              </w:rPr>
              <w:t>Marker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9"/>
              </w:rPr>
              <w:t>Healthy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9"/>
              </w:rPr>
              <w:t>Disease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9"/>
              </w:rPr>
              <w:t>Cohen's d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9"/>
              </w:rPr>
              <w:t>r_pb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9"/>
              </w:rPr>
              <w:t>p (raw)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9"/>
              </w:rPr>
              <w:t>Verdict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9"/>
              </w:rPr>
              <w:t>Age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47.5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61.7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1.34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0.55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&lt;0.001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survives (Holm &amp; Bonferroni)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9"/>
              </w:rPr>
              <w:t>Cholesterol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197.8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234.6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0.95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0.42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&lt;0.001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survives (Holm &amp; Bonferroni)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9"/>
              </w:rPr>
              <w:t>Systolic_BP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129.7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126.7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0.20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-0.10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0.021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raw-significant; rejected by correction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9"/>
              </w:rPr>
              <w:t>Diastolic_BP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82.0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83.2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0.11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0.06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0.174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not significant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9"/>
              </w:rPr>
              <w:t>Heart_Rate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74.9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73.8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0.11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-0.05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0.208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not significant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9"/>
              </w:rPr>
              <w:t>Glucose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97.4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98.8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0.06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0.03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0.443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not significant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9"/>
              </w:rPr>
              <w:t>BMI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27.6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27.6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0.01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0.00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0.919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not significant</w:t>
            </w:r>
          </w:p>
        </w:tc>
      </w:tr>
    </w:tbl>
    <w:p>
      <w:pPr>
        <w:spacing w:after="120"/>
        <w:jc w:val="both"/>
      </w:pPr>
      <w:r>
        <w:t>Two markers, Age and Cholesterol, are associated with disease by any standard: both have large effect sizes and p-values many orders of magnitude below even the Bonferroni threshold. Systolic blood pressure is the instructive case: its raw p-value (0.021) falls under 0.05, but its effect size is negligible (d = 0.20) and it does not survive either correction. It is the false positive anticipated by the 30% family-wise error rate, and it is a clinically seductive one, since blood pressure is a marker an investigator expects to matter. The remaining four markers are not significant even before correction. Figure 2 summarizes the outcome on the effect-size scale.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4027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-heart-scre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02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77"/>
          <w:sz w:val="18"/>
        </w:rPr>
        <w:t>Figure 2. Effect size per marker. Markers surviving multiplicity correction (green) are distinguished from a raw-only false positive (gold) and non-significant markers (grey).</w:t>
      </w:r>
    </w:p>
    <w:p>
      <w:pPr>
        <w:spacing w:before="200"/>
      </w:pPr>
      <w:r>
        <w:rPr>
          <w:b/>
          <w:color w:val="1A2138"/>
          <w:sz w:val="25"/>
        </w:rPr>
        <w:t>5. Discussion</w:t>
      </w:r>
    </w:p>
    <w:p>
      <w:pPr>
        <w:spacing w:after="120"/>
        <w:jc w:val="both"/>
      </w:pPr>
      <w:r>
        <w:t>The analysis makes two methodological points concrete. First, multiplicity control is not a formality: without it, this seven-marker screen would have reported blood pressure as a finding, a false positive with a trivial effect size. Reporting the effect size alongside the corrected p-value provides a second, independent guard against over-interpretation. Second, and more fundamentally, this is an observational cohort, so the surviving associations are not causal. Age is a canonical confounder here: it is associated with disease and with several markers (notably cholesterol), so a marginal association between cholesterol and disease may be partly or wholly attributable to age. Disentangling a marker's independent contribution requires a multivariable model that adjusts for age (e.g., logistic regression), not a battery of univariate tests. The marginal screen is properly read as hypothesis-generating.</w:t>
      </w:r>
    </w:p>
    <w:p>
      <w:pPr>
        <w:spacing w:after="120"/>
        <w:jc w:val="both"/>
      </w:pPr>
      <w:r>
        <w:t>When the number of tests is large, FWER control by Bonferroni becomes conservative and power suffers; in such settings the false discovery rate (Benjamini-Hochberg) is the standard alternative, bounding the expected proportion of false discoveries rather than the probability of any. With only 7 tests the FWER approach adopted here is appropriate and transparent.</w:t>
      </w:r>
    </w:p>
    <w:p>
      <w:pPr>
        <w:spacing w:before="200"/>
      </w:pPr>
      <w:r>
        <w:rPr>
          <w:b/>
          <w:color w:val="1A2138"/>
          <w:sz w:val="25"/>
        </w:rPr>
        <w:t>6. Conclusion</w:t>
      </w:r>
    </w:p>
    <w:p>
      <w:pPr>
        <w:spacing w:after="120"/>
        <w:jc w:val="both"/>
      </w:pPr>
      <w:r>
        <w:t>Of seven markers screened against heart-disease status, only Age (d = 1.34) and Cholesterol (d = 0.95) are defensibly associated after controlling the family-wise error rate; systolic blood pressure was a correction-rejected false positive. Given the observational design and the confounding role of age, a covariate-adjusted model is the appropriate confirmatory step.</w:t>
      </w:r>
    </w:p>
    <w:p>
      <w:pPr>
        <w:spacing w:before="200"/>
      </w:pPr>
      <w:r>
        <w:rPr>
          <w:b/>
          <w:color w:val="1A2138"/>
          <w:sz w:val="25"/>
        </w:rPr>
        <w:t>References</w:t>
      </w:r>
    </w:p>
    <w:p>
      <w:pPr>
        <w:ind w:left="432" w:hanging="432"/>
      </w:pPr>
      <w:r>
        <w:rPr>
          <w:sz w:val="19"/>
        </w:rPr>
        <w:t>Welch, B. L. (1947). The generalization of Student's problem when several different population variances are involved. Biometrika, 34(1–2), 28–35.</w:t>
      </w:r>
    </w:p>
    <w:p>
      <w:pPr>
        <w:ind w:left="432" w:hanging="432"/>
      </w:pPr>
      <w:r>
        <w:rPr>
          <w:sz w:val="19"/>
        </w:rPr>
        <w:t>Bonferroni, C. E. (1936). Teoria statistica delle classi e calcolo delle probabilita. Pubbl. R. Ist. Sup. Sci. Econ. Comm. Firenze, 8, 3–62.</w:t>
      </w:r>
    </w:p>
    <w:p>
      <w:pPr>
        <w:ind w:left="432" w:hanging="432"/>
      </w:pPr>
      <w:r>
        <w:rPr>
          <w:sz w:val="19"/>
        </w:rPr>
        <w:t>Holm, S. (1979). A simple sequentially rejective multiple test procedure. Scandinavian Journal of Statistics, 6(2), 65–70.</w:t>
      </w:r>
    </w:p>
    <w:p>
      <w:pPr>
        <w:ind w:left="432" w:hanging="432"/>
      </w:pPr>
      <w:r>
        <w:rPr>
          <w:sz w:val="19"/>
        </w:rPr>
        <w:t>Benjamini, Y., &amp; Hochberg, Y. (1995). Controlling the false discovery rate. Journal of the Royal Statistical Society B, 57(1), 289–300.</w:t>
      </w:r>
    </w:p>
    <w:p>
      <w:pPr>
        <w:ind w:left="432" w:hanging="432"/>
      </w:pPr>
      <w:r>
        <w:rPr>
          <w:sz w:val="19"/>
        </w:rPr>
        <w:t>Cohen, J. (1988). Statistical Power Analysis for the Behavioral Sciences (2nd ed.). Lawrence Erlbaum.</w:t>
      </w:r>
    </w:p>
    <w:p>
      <w:pPr>
        <w:ind w:left="432" w:hanging="432"/>
      </w:pPr>
      <w:r>
        <w:rPr>
          <w:sz w:val="19"/>
        </w:rPr>
        <w:t>Rothman, K. J. (1990). No adjustments are needed for multiple comparisons. Epidemiology, 1(1), 43–46.</w:t>
      </w:r>
    </w:p>
    <w:p>
      <w:pPr>
        <w:spacing w:before="200"/>
      </w:pPr>
      <w:r>
        <w:rPr>
          <w:b/>
          <w:color w:val="1A2138"/>
          <w:sz w:val="25"/>
        </w:rPr>
        <w:t>Reproducibility</w:t>
      </w:r>
    </w:p>
    <w:p>
      <w:pPr>
        <w:spacing w:after="120"/>
        <w:jc w:val="both"/>
      </w:pPr>
      <w:r>
        <w:t>The dataset (capstone-heart-disease-markers.xlsx) and an executable notebook reproducing every statistic, table, and figure accompany the chapter. Analyses use NumPy, pandas, SciPy, statsmodels, seaborn, and Matplotlib.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