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$3.64 MM and my share of those awards is $1.26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87fd7"/>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262f7"/>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7d186"/>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co-PI</w:t>
            </w:r>
          </w:p>
        </w:tc>
        <w:tc>
          <w:tcPr/>
          <w:p>
            <w:pPr>
              <w:pStyle w:val="Compact"/>
              <w:jc w:val="left"/>
            </w:pPr>
            <w:r>
              <w:t xml:space="preserve">Lu, Y. (PI), Pyrcz, M. (co-PI)</w:t>
            </w:r>
          </w:p>
        </w:tc>
        <w:tc>
          <w:tcPr/>
          <w:p>
            <w:pPr>
              <w:pStyle w:val="Compact"/>
              <w:jc w:val="left"/>
            </w:pPr>
            <w:r>
              <w:t xml:space="preserve">Unconventional Well Optimization based on Machine Learning</w:t>
            </w:r>
          </w:p>
        </w:tc>
        <w:tc>
          <w:tcPr/>
          <w:p>
            <w:pPr>
              <w:pStyle w:val="Compact"/>
              <w:jc w:val="left"/>
            </w:pPr>
            <w:r>
              <w:t xml:space="preserve">University Lands</w:t>
            </w:r>
          </w:p>
        </w:tc>
        <w:tc>
          <w:tcPr/>
          <w:p>
            <w:pPr>
              <w:pStyle w:val="Compact"/>
              <w:jc w:val="left"/>
            </w:pPr>
            <w:r>
              <w:t xml:space="preserve">$75,000</w:t>
            </w:r>
          </w:p>
        </w:tc>
        <w:tc>
          <w:tcPr/>
          <w:p>
            <w:pPr>
              <w:pStyle w:val="Compact"/>
              <w:jc w:val="left"/>
            </w:pPr>
            <w:r>
              <w:t xml:space="preserve">$25,000</w:t>
            </w:r>
          </w:p>
        </w:tc>
        <w:tc>
          <w:tcPr/>
          <w:p>
            <w:pPr>
              <w:pStyle w:val="Compact"/>
              <w:jc w:val="left"/>
            </w:pPr>
            <w:r>
              <w:t xml:space="preserve">9/2023-8/2025</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$1,929,361</w:t>
            </w:r>
          </w:p>
        </w:tc>
        <w:tc>
          <w:tcPr/>
          <w:p>
            <w:pPr>
              <w:pStyle w:val="Compact"/>
              <w:jc w:val="left"/>
            </w:pPr>
            <w:r>
              <w:t xml:space="preserve">$147,000</w:t>
            </w:r>
          </w:p>
        </w:tc>
        <w:tc>
          <w:tcPr/>
          <w:p>
            <w:pPr>
              <w:pStyle w:val="Compact"/>
            </w:pPr>
          </w:p>
        </w:tc>
      </w:tr>
    </w:tbl>
    <w:bookmarkEnd w:id="70"/>
    <w:bookmarkEnd w:id="71"/>
    <w:p>
      <w:pPr>
        <w:pStyle w:val="TextBody"/>
      </w:pPr>
      <w:r>
        <w:t xml:space="preserve"> </w:t>
      </w:r>
    </w:p>
    <w:bookmarkStart w:id="73" w:name="tbl-inreview"/>
    <w:bookmarkStart w:id="72" w:name="T_43fd8"/>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dc26a"/>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1bef4"/>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2023-08-28T17:58:22Z</dcterms:created>
  <dcterms:modified xsi:type="dcterms:W3CDTF">2023-08-28T17:58:22Z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