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Service</w:t>
      </w:r>
      <w:r>
        <w:t xml:space="preserve"> </w:t>
      </w:r>
      <w:r>
        <w:t xml:space="preserve">Statement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T.</w:t>
      </w:r>
      <w:r>
        <w:t xml:space="preserve"> </w:t>
      </w:r>
      <w:r>
        <w:t xml:space="preserve">Foster</w:t>
      </w:r>
    </w:p>
    <w:p>
      <w:pPr>
        <w:pStyle w:val="FirstParagraph"/>
      </w:pPr>
      <w:r>
        <w:rPr>
          <w:bCs/>
          <w:b/>
        </w:rPr>
        <w:t xml:space="preserve">Service to the Hildebrand Department.</w:t>
      </w:r>
      <w:r>
        <w:t xml:space="preserve"> </w:t>
      </w:r>
      <w:r>
        <w:t xml:space="preserve">In rank at UT-PGE, I have served on the following department committees:</w:t>
      </w:r>
    </w:p>
    <w:p>
      <w:pPr>
        <w:numPr>
          <w:ilvl w:val="0"/>
          <w:numId w:val="1001"/>
        </w:numPr>
        <w:pStyle w:val="Compact"/>
      </w:pPr>
      <w:r>
        <w:t xml:space="preserve">PGE Undergraduate Studies 2015–2017, Chair 2019–present</w:t>
      </w:r>
    </w:p>
    <w:p>
      <w:pPr>
        <w:numPr>
          <w:ilvl w:val="0"/>
          <w:numId w:val="1001"/>
        </w:numPr>
        <w:pStyle w:val="Compact"/>
      </w:pPr>
      <w:r>
        <w:t xml:space="preserve">PGE Graduate Studies, 2017–2018</w:t>
      </w:r>
    </w:p>
    <w:p>
      <w:pPr>
        <w:numPr>
          <w:ilvl w:val="0"/>
          <w:numId w:val="1001"/>
        </w:numPr>
        <w:pStyle w:val="Compact"/>
      </w:pPr>
      <w:r>
        <w:t xml:space="preserve">PGE Graduate Admissions, 2015-2017</w:t>
      </w:r>
    </w:p>
    <w:p>
      <w:pPr>
        <w:numPr>
          <w:ilvl w:val="0"/>
          <w:numId w:val="1001"/>
        </w:numPr>
        <w:pStyle w:val="Compact"/>
      </w:pPr>
      <w:r>
        <w:t xml:space="preserve">PGE Department Award Committee 2014–2017</w:t>
      </w:r>
    </w:p>
    <w:p>
      <w:pPr>
        <w:numPr>
          <w:ilvl w:val="0"/>
          <w:numId w:val="1001"/>
        </w:numPr>
        <w:pStyle w:val="Compact"/>
      </w:pPr>
      <w:r>
        <w:t xml:space="preserve">PGE Graduate Seminar Organizer, Fall 2017</w:t>
      </w:r>
    </w:p>
    <w:p>
      <w:pPr>
        <w:pStyle w:val="FirstParagraph"/>
      </w:pPr>
      <w:r>
        <w:t xml:space="preserve">During the transition to remote learning during the Spring 2020 semester brought on by the COVID19 pandemic, I was asked by our department chair to form an ad hoc committee on to provide</w:t>
      </w:r>
      <w:r>
        <w:t xml:space="preserve"> </w:t>
      </w:r>
      <w:r>
        <w:t xml:space="preserve">“</w:t>
      </w:r>
      <w:r>
        <w:t xml:space="preserve">best practices for online/distance learning</w:t>
      </w:r>
      <w:r>
        <w:t xml:space="preserve">”</w:t>
      </w:r>
      <w:r>
        <w:t xml:space="preserve">. We quickly developed a</w:t>
      </w:r>
      <w:r>
        <w:t xml:space="preserve"> </w:t>
      </w:r>
      <w:hyperlink r:id="rId20">
        <w:r>
          <w:rPr>
            <w:rStyle w:val="InternetLink"/>
          </w:rPr>
          <w:t xml:space="preserve">Wiki</w:t>
        </w:r>
      </w:hyperlink>
      <w:r>
        <w:t xml:space="preserve"> </w:t>
      </w:r>
      <w:r>
        <w:t xml:space="preserve">based on my experiences using various technologies for teaching, and I even personally recorded some</w:t>
      </w:r>
      <w:r>
        <w:t xml:space="preserve"> </w:t>
      </w:r>
      <w:r>
        <w:t xml:space="preserve">“</w:t>
      </w:r>
      <w:r>
        <w:t xml:space="preserve">How To</w:t>
      </w:r>
      <w:r>
        <w:t xml:space="preserve">”</w:t>
      </w:r>
      <w:r>
        <w:t xml:space="preserve"> </w:t>
      </w:r>
      <w:r>
        <w:t xml:space="preserve">videos to assist other faculty with this transition.</w:t>
      </w:r>
    </w:p>
    <w:p>
      <w:pPr>
        <w:pStyle w:val="TextBody"/>
      </w:pPr>
      <w:r>
        <w:t xml:space="preserve">Additionally, I have participated in the preparing and grading the math qualifying exam and have suggested and helped coordinate the visits of many seminar speakers. In general, I would say I am</w:t>
      </w:r>
      <w:r>
        <w:t xml:space="preserve"> </w:t>
      </w:r>
      <w:r>
        <w:t xml:space="preserve">“</w:t>
      </w:r>
      <w:r>
        <w:t xml:space="preserve">engaged</w:t>
      </w:r>
      <w:r>
        <w:t xml:space="preserve">”</w:t>
      </w:r>
      <w:r>
        <w:t xml:space="preserve"> </w:t>
      </w:r>
      <w:r>
        <w:t xml:space="preserve">in supplemental department activities at a level that only a few other PGE faculty are. I try in earnest to attend events like the distinguished alumni dinner and alumni tailgate, freshmen retreat, SPE student chapter activities, lunches with invited speakers, graduate recruiting events (in PGE, ASE/EM, and for the Oden Institute CSEM program), etc.</w:t>
      </w:r>
    </w:p>
    <w:p>
      <w:pPr>
        <w:pStyle w:val="TextBody"/>
      </w:pPr>
      <w:r>
        <w:rPr>
          <w:bCs/>
          <w:b/>
        </w:rPr>
        <w:t xml:space="preserve">Service to the School and University.</w:t>
      </w:r>
      <w:r>
        <w:t xml:space="preserve"> </w:t>
      </w:r>
      <w:r>
        <w:t xml:space="preserve">As an associate professor, I haven’t been called on very often to participate in committees above the department level, although I have served on the following committees:</w:t>
      </w:r>
    </w:p>
    <w:p>
      <w:pPr>
        <w:numPr>
          <w:ilvl w:val="0"/>
          <w:numId w:val="1002"/>
        </w:numPr>
        <w:pStyle w:val="Compact"/>
      </w:pPr>
      <w:r>
        <w:t xml:space="preserve">Cockrell School Degrees &amp; Courses 2021-2022</w:t>
      </w:r>
    </w:p>
    <w:p>
      <w:pPr>
        <w:numPr>
          <w:ilvl w:val="0"/>
          <w:numId w:val="1002"/>
        </w:numPr>
        <w:pStyle w:val="Compact"/>
      </w:pPr>
      <w:r>
        <w:t xml:space="preserve">Cockrell School Engineering Honors 2015-2019</w:t>
      </w:r>
    </w:p>
    <w:p>
      <w:pPr>
        <w:pStyle w:val="FirstParagraph"/>
      </w:pPr>
      <w:r>
        <w:rPr>
          <w:bCs/>
          <w:b/>
        </w:rPr>
        <w:t xml:space="preserve">Service to the Nation, State and Community.</w:t>
      </w:r>
      <w:r>
        <w:t xml:space="preserve"> </w:t>
      </w:r>
      <w:r>
        <w:t xml:space="preserve">I have reviewed 1-2 papers a month for my entire time in rank. I have reviewed papers for the following journals:</w:t>
      </w:r>
      <w:r>
        <w:t xml:space="preserve"> </w:t>
      </w:r>
      <w:r>
        <w:rPr>
          <w:iCs/>
          <w:i/>
        </w:rPr>
        <w:t xml:space="preserve">Computational Geosciences, Journal of Applied Mechanics, Computational Methods in Applied Mechanics and Engineering, Journal of Computational Particle Mechanics, Journal of Microelectromechanical Systems, Computational Mechanics, Int. Journal of Fracture, Applied Mathematics &amp; Computation, Int. Journal of Impact</w:t>
      </w:r>
      <w:r>
        <w:rPr>
          <w:iCs/>
          <w:i/>
        </w:rPr>
        <w:t xml:space="preserve"> </w:t>
      </w:r>
      <w:r>
        <w:rPr>
          <w:iCs/>
          <w:i/>
        </w:rPr>
        <w:t xml:space="preserve">Engineering, Engineering Fracture Mechanics, Experimental Mechanics, Review of Scientific Instruments, Int. Journal of Multiscale Computational Engineering, Int. Journal of Solids and Structures, CMC: Computers, Materials, &amp; Continua, Journal of Mechanics of Materials and</w:t>
      </w:r>
      <w:r>
        <w:rPr>
          <w:iCs/>
          <w:i/>
        </w:rPr>
        <w:t xml:space="preserve"> </w:t>
      </w:r>
      <w:r>
        <w:rPr>
          <w:iCs/>
          <w:i/>
        </w:rPr>
        <w:t xml:space="preserve">Structures.</w:t>
      </w:r>
    </w:p>
    <w:p>
      <w:pPr>
        <w:pStyle w:val="TextBody"/>
      </w:pPr>
      <w:r>
        <w:t xml:space="preserve">I serve as an</w:t>
      </w:r>
      <w:r>
        <w:t xml:space="preserve"> </w:t>
      </w:r>
      <w:hyperlink r:id="rId21">
        <w:r>
          <w:rPr>
            <w:rStyle w:val="InternetLink"/>
          </w:rPr>
          <w:t xml:space="preserve">associate editor</w:t>
        </w:r>
      </w:hyperlink>
      <w:r>
        <w:t xml:space="preserve"> </w:t>
      </w:r>
      <w:r>
        <w:t xml:space="preserve">for the</w:t>
      </w:r>
      <w:r>
        <w:t xml:space="preserve"> </w:t>
      </w:r>
      <w:r>
        <w:rPr>
          <w:iCs/>
          <w:i/>
        </w:rPr>
        <w:t xml:space="preserve">Journal of Peridynamics and Nonlocal Modeling</w:t>
      </w:r>
      <w:r>
        <w:t xml:space="preserve">.</w:t>
      </w:r>
    </w:p>
    <w:p>
      <w:pPr>
        <w:pStyle w:val="TextBody"/>
      </w:pPr>
      <w:r>
        <w:t xml:space="preserve">I have served on NSF panels for the Mechanics of Materials program. I have reviewed proposals for the American Chemical Society’s Petroleum Research Fund and DOEs BES and ASCR programs.</w:t>
      </w:r>
    </w:p>
    <w:p>
      <w:pPr>
        <w:pStyle w:val="TextBody"/>
      </w:pPr>
      <w:r>
        <w:t xml:space="preserve">I have been very active in service within the computational mechanics community, organizing numerous mini-symposia annually at conferences from ASME, EMI, WCCM, and USACM.</w:t>
      </w:r>
    </w:p>
    <w:p>
      <w:pPr>
        <w:pStyle w:val="TextBody"/>
      </w:pPr>
      <w:r>
        <w:t xml:space="preserve">More notably, I have organized several Thematic Workshops for USACM,</w:t>
      </w:r>
      <w:r>
        <w:t xml:space="preserve"> </w:t>
      </w:r>
      <w:r>
        <w:t xml:space="preserve">including the following:</w:t>
      </w:r>
    </w:p>
    <w:p>
      <w:pPr>
        <w:numPr>
          <w:ilvl w:val="0"/>
          <w:numId w:val="1003"/>
        </w:numPr>
      </w:pPr>
      <w:r>
        <w:t xml:space="preserve">Workshop on Nonlocal Methods in Fracture</w:t>
      </w:r>
    </w:p>
    <w:p>
      <w:pPr>
        <w:numPr>
          <w:ilvl w:val="1"/>
          <w:numId w:val="1004"/>
        </w:numPr>
        <w:pStyle w:val="Compact"/>
      </w:pPr>
      <w:r>
        <w:t xml:space="preserve">Held at UT-Austin, Janruary 15–16, 2018</w:t>
      </w:r>
    </w:p>
    <w:p>
      <w:pPr>
        <w:numPr>
          <w:ilvl w:val="0"/>
          <w:numId w:val="1003"/>
        </w:numPr>
      </w:pPr>
      <w:r>
        <w:t xml:space="preserve">Workshop on Isogeometric Analysis and Meshfree Methods</w:t>
      </w:r>
    </w:p>
    <w:p>
      <w:pPr>
        <w:numPr>
          <w:ilvl w:val="1"/>
          <w:numId w:val="1005"/>
        </w:numPr>
        <w:pStyle w:val="Compact"/>
      </w:pPr>
      <w:r>
        <w:t xml:space="preserve">Held at UCSD, October 10–12, 2016</w:t>
      </w:r>
    </w:p>
    <w:p>
      <w:pPr>
        <w:pStyle w:val="FirstParagraph"/>
      </w:pPr>
      <w:r>
        <w:t xml:space="preserve">Most importantly, I was the</w:t>
      </w:r>
      <w:r>
        <w:t xml:space="preserve"> </w:t>
      </w:r>
      <w:r>
        <w:rPr>
          <w:bCs/>
          <w:b/>
        </w:rPr>
        <w:t xml:space="preserve">conference chair</w:t>
      </w:r>
      <w:r>
        <w:t xml:space="preserve"> </w:t>
      </w:r>
      <w:r>
        <w:t xml:space="preserve">of the</w:t>
      </w:r>
      <w:r>
        <w:t xml:space="preserve"> </w:t>
      </w:r>
      <w:hyperlink r:id="rId22">
        <w:r>
          <w:rPr>
            <w:rStyle w:val="InternetLink"/>
          </w:rPr>
          <w:t xml:space="preserve">US National Congress on Computational Mechanics 15 (USNCCM 15)</w:t>
        </w:r>
      </w:hyperlink>
      <w:r>
        <w:t xml:space="preserve"> </w:t>
      </w:r>
      <w:r>
        <w:t xml:space="preserve">held in Austin, TX, July 28–August 1, 2019. This conference was attended by &gt;1000 people, with a budget &gt;$1M, that returned &gt;$200k profit to the professional organization (</w:t>
      </w:r>
      <w:hyperlink r:id="rId23">
        <w:r>
          <w:rPr>
            <w:rStyle w:val="InternetLink"/>
          </w:rPr>
          <w:t xml:space="preserve">USACM</w:t>
        </w:r>
      </w:hyperlink>
      <w:r>
        <w:t xml:space="preserve">). I worked for 4 years on this conference, wrote the proposal to USACM to host the conference in Austin, raised ~$60k in grants to support student travel for the conference (including $25k by way of an NSF proposal). Two of our four plenary speakers were UT faculty and women (Karen Wilcoxx and Mary Wheeler)! A third was a UT grad and the 4th is a Austin business owner. All were invited/selected by myself. My role in organizing contributed to considerable positive exposure for UT, UT PGE and the City of Austin.</w:t>
      </w:r>
    </w:p>
    <w:sectPr>
      <w:footnotePr>
        <w:numFmt w:val="decimal"/>
      </w:footnote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both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0" w:before="480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0" w:before="200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>
      <w:sz w:val="22"/>
    </w:rPr>
  </w:style>
  <w:style w:styleId="List" w:type="paragraph">
    <w:name w:val="List"/>
    <w:basedOn w:val="TextBody"/>
    <w:pPr/>
    <w:rPr>
      <w:rFonts w:cs="Lohit Devanagari"/>
    </w:rPr>
  </w:style>
  <w:style w:styleId="Caption" w:type="paragraph">
    <w:name w:val="Caption"/>
    <w:basedOn w:val="Normal"/>
    <w:link w:val="BodyTextChar"/>
    <w:autoRedefine/>
    <w:qFormat/>
    <w:pPr>
      <w:spacing w:after="120" w:before="0"/>
      <w:jc w:val="center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TextBody"/>
    <w:next w:val="TextBody"/>
    <w:qFormat/>
    <w:pPr/>
    <w:rPr>
      <w:sz w:val="22"/>
    </w:rPr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>
      <w:sz w:val="20"/>
    </w:rPr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jc w:val="center"/>
    </w:pPr>
    <w:rPr>
      <w:sz w:val="22"/>
    </w:rPr>
  </w:style>
  <w:style w:customStyle="1" w:styleId="ImageCaption" w:type="paragraph">
    <w:name w:val="Image Caption"/>
    <w:basedOn w:val="Caption"/>
    <w:qFormat/>
    <w:pPr>
      <w:jc w:val="center"/>
    </w:pPr>
    <w:rPr>
      <w:sz w:val="22"/>
    </w:rPr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  <w:jc w:val="center"/>
    </w:pPr>
    <w:rPr>
      <w:sz w:val="22"/>
    </w:rPr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  <w:outlineLvl w:val="9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styleId="TableContents" w:type="paragraph">
    <w:name w:val="Table Contents"/>
    <w:basedOn w:val="Normal"/>
    <w:qFormat/>
    <w:pPr>
      <w:widowControl w:val="false"/>
      <w:suppressLineNumbers/>
    </w:pPr>
    <w:rPr>
      <w:rFonts w:ascii="Times New Roman" w:hAnsi="Times New Roman"/>
    </w:rPr>
  </w:style>
  <w:style w:styleId="TableHeading" w:type="paragraph">
    <w:name w:val="Table Heading"/>
    <w:basedOn w:val="TableContents"/>
    <w:qFormat/>
    <w:pPr>
      <w:suppressLineNumbers/>
      <w:shd w:fill="999999" w:val="clear"/>
      <w:jc w:val="center"/>
    </w:pPr>
    <w:rPr>
      <w:b/>
      <w:bCs/>
    </w:rPr>
  </w:style>
  <w:style w:styleId="Table" w:type="paragraph">
    <w:name w:val="Table"/>
    <w:basedOn w:val="Caption"/>
    <w:qFormat/>
    <w:pPr>
      <w:jc w:val="center"/>
    </w:pPr>
    <w:rPr/>
  </w:style>
  <w:style w:styleId="MyTableHeading" w:type="paragraph">
    <w:name w:val="My Table Heading"/>
    <w:basedOn w:val="Compact"/>
    <w:qFormat/>
    <w:pPr>
      <w:widowControl w:val="false"/>
      <w:shd w:fill="999999" w:val="clear"/>
      <w:suppressAutoHyphens w:val="true"/>
      <w:spacing w:after="36" w:before="36"/>
      <w:jc w:val="center"/>
    </w:pPr>
    <w:rPr>
      <w:b/>
    </w:rPr>
  </w:style>
  <w:style w:styleId="TableofFigures" w:type="paragraph">
    <w:name w:val="Table of Figures"/>
    <w:basedOn w:val="Caption"/>
    <w:qFormat/>
    <w:pPr>
      <w:jc w:val="center"/>
    </w:pPr>
    <w:rPr/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15.usnccm.org/" TargetMode="External" /><Relationship Type="http://schemas.openxmlformats.org/officeDocument/2006/relationships/hyperlink" Id="rId20" Target="https://wikis.utexas.edu/display/pgeonlineteaching/Online+lectures" TargetMode="External" /><Relationship Type="http://schemas.openxmlformats.org/officeDocument/2006/relationships/hyperlink" Id="rId21" Target="https://www.springer.com/journal/42102/editors" TargetMode="External" /><Relationship Type="http://schemas.openxmlformats.org/officeDocument/2006/relationships/hyperlink" Id="rId23" Target="https://www.usacm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15.usnccm.org/" TargetMode="External" /><Relationship Type="http://schemas.openxmlformats.org/officeDocument/2006/relationships/hyperlink" Id="rId20" Target="https://wikis.utexas.edu/display/pgeonlineteaching/Online+lectures" TargetMode="External" /><Relationship Type="http://schemas.openxmlformats.org/officeDocument/2006/relationships/hyperlink" Id="rId21" Target="https://www.springer.com/journal/42102/editors" TargetMode="External" /><Relationship Type="http://schemas.openxmlformats.org/officeDocument/2006/relationships/hyperlink" Id="rId23" Target="https://www.usacm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LibreOffice/7.3.7.2$Linux_X86_64 LibreOffice_project/30$Build-2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Statement</dc:title>
  <dc:creator>John T. Foster</dc:creator>
  <cp:keywords/>
  <dcterms:created xsi:type="dcterms:W3CDTF">2023-07-19T12:16:39Z</dcterms:created>
  <dcterms:modified xsi:type="dcterms:W3CDTF">2023-07-19T12:16:39Z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jupyter">
    <vt:lpwstr>python3</vt:lpwstr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