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grants"/>
    <w:bookmarkStart w:id="20" w:name="T_dea24"/>
    <w:p>
      <w:pPr>
        <w:pStyle w:val="TableCaption"/>
      </w:pPr>
      <w:r>
        <w:t xml:space="preserve">Table 1: Grants and Contracts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Grants and Contra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 and Co-Investigators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Total (My Share)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X-Prize Necking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$44,700 ($44,700)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Granular Materials Undergoing Shock 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$32,597 ($32,597)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coarse-graining of molecular dynamics into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Fracture Design, Placement And Sequencing In Horizontal Wells, DE-FOA-0000724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Energy Technology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$1,592,451 ($275,250)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of Peridynamics to Hydraulic Fracture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UTSA VPR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$18,927 ($18,927)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9/2012-8/2013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pressure-shear experiments on granular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$29,071 ($29,071)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multiscale failure modeling paradigm for polymers: statistical coarse-graining of molecular dynamics into peridynamics.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Fiber failure modeling with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$101,306 ($101,306)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simulation of material failure using peridynamics-advanced constitutive modeling, verification, and validation, BAA-AFOSR-2012-0001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$360,000 ($360,000)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Madenci, E. (PI),Bobaru, F. (co-PI), Chawla, N. (co-PI), Du, Q.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MURI Center for Material Failure Prediction Through Peridynamics, ONRBAA12-020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$7,500,000 ($959,153)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$39,819 ($39,819)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 and fractional order methods for near-wall turbulence, large-eddy simulation, and fluid-structure interaction, ONRFOA14-012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$345,000 ($345,000)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$33,845 ($33,845)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Fracture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Global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 ($100,000)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(Shivam Agrawal)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$67,664 ($33,832)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ASCeND: ASymptotically Compatible strong form foundations for Nonlocal Discretization.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 ($300,000)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9/2018-10/2021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and Postdoc Travel Support for the 15th USNCCM in Austin, 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NSF, Proj. No. 1935320.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 for Data Science Research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Moncrief Grand Challenge: GFEM Framework for Reservoir Simulation of Unconventionals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Oden Institute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($75,000)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1/2019-9/2019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DiReCT: Digital Reservoir Characterization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IAP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$960,000 ($420,000)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7/2019-8/2023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MATNIP: Mathematical Foundations of Nonlocal Interface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$121,000 ($121,000)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9/2020-10/2022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Capillary End Effects on Large Scale Tight Reservoir 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Chemical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$110,000 ($110,000)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1/2021-12/2023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Espinoza, D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storage in salt caverns in the Permian Basin: Seal integrity evaluation and 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$1,854,361 ($122,000)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$13,944,591 ($3,755,350)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awarded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$3,563,025 ($1,231,832)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research spending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$5,369,449 ($1,779,138)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Table</dc:title>
  <dc:creator>John T. Foster</dc:creator>
  <cp:keywords/>
  <dcterms:created xsi:type="dcterms:W3CDTF">2023-07-18T15:55:49Z</dcterms:created>
  <dcterms:modified xsi:type="dcterms:W3CDTF">2023-07-18T15:55:49Z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