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bookmarkStart w:id="43" w:name="overview"/>
    <w:p>
      <w:pPr>
        <w:pStyle w:val="Heading1"/>
      </w:pPr>
      <w:r>
        <w:t xml:space="preserve">Overview</w:t>
      </w:r>
    </w:p>
    <w:p>
      <w:pPr>
        <w:pStyle w:val="FirstParagraph"/>
      </w:pP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in which all of the traditional lecture materials are posted to YouTube and embedded in a course specific websites that I developed. The students are then required to watch the videos</w:t>
      </w:r>
      <w:r>
        <w:rPr>
          <w:rStyle w:val="FootnoteReference"/>
        </w:rPr>
        <w:footnoteReference w:id="20"/>
      </w:r>
      <w:r>
        <w:t xml:space="preserve"> </w:t>
      </w:r>
      <w:r>
        <w:t xml:space="preserve">before attending class. Accompanying the videos are automatically graded quiz questions to ensure the students complete the videos and continuously provide a feedback assessment of their progress. The in-class part of the course is then offered in a computer lab where daily exercises are carried out in a way that offers students an opportunity to solve problems on their own with my immediate assistance when they need it. Independent projects replace tests in these courses. Thus far I have 100s of lecture videos for these classes. Interestingly, these videos are being watched more often by others, outside of the formal classroom. They currently have over 230K unique views representing more than 800K minutes of viewing on YouTube from interested people in almost every country in the world. Figure </w:t>
      </w:r>
      <w:hyperlink w:anchor="fig:views">
        <w:r>
          <w:rPr>
            <w:rStyle w:val="InternetLink"/>
          </w:rPr>
          <w:t xml:space="preserve">1</w:t>
        </w:r>
      </w:hyperlink>
      <w:r>
        <w:t xml:space="preserve"> </w:t>
      </w:r>
      <w:r>
        <w:t xml:space="preserve">shows the historical accumulation of views for the HPC course. I taught this course for 3 semesters at UTSA and am preparing to teach a similar course in the Spring of 2017 to PGE students.</w:t>
      </w:r>
    </w:p>
    <w:tbl>
      <w:tblPr>
        <w:tblStyle w:val="Table"/>
        <w:tblW w:type="pct" w:w="5000"/>
        <w:tblLook w:firstRow="0" w:lastRow="0" w:firstColumn="0" w:lastColumn="0" w:noHBand="0" w:noVBand="0" w:val="0000"/>
        <w:jc w:val="start"/>
      </w:tblPr>
      <w:tblGrid>
        <w:gridCol w:w="7920"/>
      </w:tblGrid>
      <w:tr>
        <w:tc>
          <w:tcPr/>
          <w:bookmarkStart w:id="22" w:name="fig:views"/>
          <w:p>
            <w:pPr>
              <w:jc w:val="center"/>
            </w:pPr>
          </w:p>
          <w:p>
            <w:pPr>
              <w:jc w:val="center"/>
            </w:pPr>
            <w:r>
              <w:t xml:space="preserve">Historical</w:t>
            </w:r>
            <w:r>
              <w:t xml:space="preserve"> </w:t>
            </w:r>
            <w:r>
              <w:rPr>
                <w:iCs/>
                <w:i/>
              </w:rPr>
              <w:t xml:space="preserve">daily</w:t>
            </w:r>
            <w:r>
              <w:t xml:space="preserve"> </w:t>
            </w:r>
            <w:r>
              <w:t xml:space="preserve">views of HPC course YouTube channel</w:t>
            </w:r>
          </w:p>
          <w:bookmarkEnd w:id="22"/>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 Advanced Geomechanics</w:t>
      </w:r>
      <w:r>
        <w:rPr>
          <w:rStyle w:val="FootnoteReference"/>
        </w:rPr>
        <w:footnoteReference w:id="23"/>
      </w:r>
      <w:r>
        <w:t xml:space="preserve">, PGE 334 Reservoir Geomechanics</w:t>
      </w:r>
      <w:r>
        <w:rPr>
          <w:rStyle w:val="FootnoteReference"/>
        </w:rPr>
        <w:footnoteReference w:id="25"/>
      </w:r>
      <w:r>
        <w:t xml:space="preserve">, and PGE 323M Reservoir Engineering III</w:t>
      </w:r>
      <w:r>
        <w:rPr>
          <w:rStyle w:val="FootnoteReference"/>
        </w:rPr>
        <w:footnoteReference w:id="27"/>
      </w:r>
      <w:r>
        <w:t xml:space="preserve">. Like the HPC course described previously, these videos are being watched by students around the world and have views cumulatively exceeding 100K. Professors Maša Prodanović and Eric van Oort in the PGE Department have adopted and adapted parts of this methodology after discussions with me regarding the tools I use. Other professors have expressed interest in adopting these techniques, and the possibility of using some of these methods to prepare material for a future online Master of Science degree in PGE has been discussed, including at the PGE 2015 faculty retreat where I gave a live demonstration.</w:t>
      </w:r>
    </w:p>
    <w:p>
      <w:pPr>
        <w:pStyle w:val="TextBody"/>
      </w:pPr>
      <w:r>
        <w:t xml:space="preserve">It has been my experience that many, if not most, engineering students are aided by visual learning tools and where appropriate I always try to incorporate these into my lectures. Figure </w:t>
      </w:r>
      <w:hyperlink w:anchor="fig:newton">
        <w:r>
          <w:rPr>
            <w:rStyle w:val="InternetLink"/>
          </w:rPr>
          <w:t xml:space="preserve">[fig:newton]</w:t>
        </w:r>
      </w:hyperlink>
      <w:r>
        <w:t xml:space="preserve"> </w:t>
      </w:r>
      <w:r>
        <w:t xml:space="preserve">shows an animated computer visualization of tangent lines being drawn and new approximations being computed as a Newton’s method nonlinear solver converges to a root. This is one of many similar such visual aides that I developed (i.e. wrote the</w:t>
      </w:r>
      <w:r>
        <w:t xml:space="preserve"> </w:t>
      </w:r>
      <w:r>
        <w:rPr>
          <w:iCs/>
          <w:i/>
        </w:rPr>
        <w:t xml:space="preserve">Mathematica</w:t>
      </w:r>
      <w:r>
        <w:t xml:space="preserve"> </w:t>
      </w:r>
      <w:r>
        <w:t xml:space="preserve">code) for a course on numerical methods</w:t>
      </w:r>
      <w:r>
        <w:rPr>
          <w:rStyle w:val="FootnoteReference"/>
        </w:rPr>
        <w:footnoteReference w:id="29"/>
      </w:r>
      <w:r>
        <w:t xml:space="preserve">, these notebooks are currently being translated to an open-source interactive book</w:t>
      </w:r>
      <w:r>
        <w:rPr>
          <w:rStyle w:val="FootnoteReference"/>
        </w:rPr>
        <w:footnoteReference w:id="31"/>
      </w:r>
      <w:r>
        <w:t xml:space="preserve">.</w:t>
      </w:r>
    </w:p>
    <w:p>
      <w:pPr>
        <w:pStyle w:val="TextBody"/>
      </w:pP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I do not insist they use any particular language or engineering software toolbox, but rather emphasize choosing the right tool for the task by discussing the pro/cons regarding speed, algorithm robustness, and ease of programming with them. Begin proficient in several programming languages and engineering sofware packages (virtually all of the most commonly used ones) allows me to do this with ease. I emphasize good coding practices that make their codes easier to debug. I force them to solve verification problems, and to test their code so that they have confidence that the solutions they turn in are correct. I frequently live-code on my laptop in class to explain not only syntax, but the logic of programming which often is the logic of problem solving. I even discuss software</w:t>
      </w:r>
      <w:r>
        <w:t xml:space="preserve"> </w:t>
      </w:r>
      <w:r>
        <w:rPr>
          <w:iCs/>
          <w:i/>
        </w:rPr>
        <w:t xml:space="preserve">developer operations</w:t>
      </w:r>
      <w:r>
        <w:t xml:space="preserve"> </w:t>
      </w:r>
      <w:r>
        <w:t xml:space="preserve">such as agile, testing, and version control when appropriate. I have held ad hoc tutorials outside of class on such topics</w:t>
      </w:r>
      <w:r>
        <w:rPr>
          <w:rStyle w:val="FootnoteReference"/>
        </w:rPr>
        <w:footnoteReference w:id="33"/>
      </w:r>
      <w:r>
        <w:t xml:space="preserve">. The students I have taught so far seem to respond well to these course designs, despite the common misconception that</w:t>
      </w:r>
      <w:r>
        <w:t xml:space="preserve"> </w:t>
      </w:r>
      <w:r>
        <w:t xml:space="preserve">“</w:t>
      </w:r>
      <w:r>
        <w:t xml:space="preserve">engineers don’t like to code</w:t>
      </w:r>
      <w:r>
        <w:t xml:space="preserve">”</w:t>
      </w:r>
      <w:r>
        <w:t xml:space="preserve">. It’s possible that engineers do not recognize the full worth of programming when taught as a stand-alone subject, but when taught programming as part of the</w:t>
      </w:r>
      <w:r>
        <w:t xml:space="preserve"> </w:t>
      </w:r>
      <w:r>
        <w:rPr>
          <w:iCs/>
          <w:i/>
        </w:rPr>
        <w:t xml:space="preserve">art of problem solving</w:t>
      </w:r>
      <w:r>
        <w:t xml:space="preserve">, nearly every student I have encountered develops an appreciation and they have expressed this in written comments during course evaluations.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When teaching PGE 334 Advanced Geomechanics in the Spring of 2016, for the first time, I allowed students to use their personal or department provided laptops during exams. In this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t xml:space="preserve">Being formally trained as a mechanician, I have a very different background than a traditional petroleum engineer; however, it is my belief that this skill set adds tremendous value in a future where unconventional resources will play a large role in the petroleum industry. These unconventionals require extensive knowledge of geomechanics to efficiently and safely bring into production. Indeed PGE’s curriculum has already began to reflect this by adding both undergraduate and graduate courses in geomechanics over the last several years (i.e. PGE334 and PGE373, both of which I have taught). Additionally, my background in scientific computing and the numerical solution of PDE’s allowed me to seamlessly begin to teach courses in reservoir simulation (PGE323M).</w:t>
      </w:r>
    </w:p>
    <w:p>
      <w:pPr>
        <w:pStyle w:val="TextBody"/>
      </w:pPr>
      <w:r>
        <w:t xml:space="preserve">I have always been rated highly in student evaluations. The worst instructor evaluation I have received was in PGE 334 Advanced Geomechanics during the Spring of 2015 (my first time teaching this course and the largest course I had ever taught at the time by a significant amount). The evaluation was a 3.4 which I improved to a 4.3 the next time I taught the course. I attribute the improvement to better preparation (second time teaching the course), a more knowledgable and efficient use of teaching assistants in a large class, as well as implementing new techniques, such as using laptops for exams as previously discussed. This improvement was in spite of requiring the students to program for every assignment, something they supposedly don’t like to do! Generally my instructor ratings are in the 4’s. Table </w:t>
      </w:r>
      <w:hyperlink w:anchor="tab:summary">
        <w:r>
          <w:rPr>
            <w:rStyle w:val="InternetLink"/>
          </w:rPr>
          <w:t xml:space="preserve">1</w:t>
        </w:r>
      </w:hyperlink>
      <w:r>
        <w:t xml:space="preserve"> </w:t>
      </w:r>
      <w:r>
        <w:t xml:space="preserve">provides a summary of my course and instructor ratings since becoming an assistant professor in the Fall of 2011.</w:t>
      </w:r>
    </w:p>
    <w:p>
      <w:pPr>
        <w:pStyle w:val="TextBody"/>
      </w:pPr>
      <w:r>
        <w:t xml:space="preserve">With regard to assisting (primarily graduate) students in their learning process, I maintain an active weblog</w:t>
      </w:r>
      <w:r>
        <w:rPr>
          <w:rStyle w:val="FootnoteReference"/>
        </w:rPr>
        <w:footnoteReference w:id="35"/>
      </w:r>
      <w:r>
        <w:t xml:space="preserve"> </w:t>
      </w:r>
      <w:r>
        <w:t xml:space="preserve">of helpful tips and answered questions. Generally these are related to scientific computing topics.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p>
      <w:pPr>
        <w:pStyle w:val="TextBody"/>
      </w:pP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in this regard.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p>
      <w:pPr>
        <w:pStyle w:val="TextBody"/>
      </w:pPr>
      <w:r>
        <w:t xml:space="preserve">Finally, I believe experience with these innovative approaches to teaching will give me an advantage if called on to participate in the PGE Departments forthcoming online MS program or The University of Texas System’s delivery of online or massively online courses, e.g. the edX program, something I would be interested in doing in the future.</w:t>
      </w:r>
    </w:p>
    <w:bookmarkStart w:id="38" w:name="tab:summary"/>
    <w:p>
      <w:pPr>
        <w:pStyle w:val="TableCaption"/>
      </w:pPr>
      <w:r>
        <w:t xml:space="preserve">Summary of</w:t>
      </w:r>
      <w:r>
        <w:t xml:space="preserve"> </w:t>
      </w:r>
      <w:r>
        <w:rPr>
          <w:iCs/>
          <w:i/>
        </w:rPr>
        <w:t xml:space="preserve">Course-Instructor</w:t>
      </w:r>
      <w:r>
        <w:t xml:space="preserve"> </w:t>
      </w:r>
      <w:r>
        <w:t xml:space="preserve">Ratings</w:t>
      </w:r>
    </w:p>
    <w:tbl>
      <w:tblPr>
        <w:tblStyle w:val="Table"/>
        <w:tblW w:type="auto" w:w="0"/>
        <w:tblLook w:firstRow="0" w:lastRow="0" w:firstColumn="0" w:lastColumn="0" w:noHBand="0" w:noVBand="0" w:val="0000"/>
        <w:jc w:val="start"/>
        <w:tblCaption w:val="Summary of Course-Instructor Ratings"/>
      </w:tblPr>
      <w:tblGrid>
        <w:gridCol w:w="2640"/>
        <w:gridCol w:w="2640"/>
        <w:gridCol w:w="2640"/>
      </w:tblGrid>
      <w:tr>
        <w:tc>
          <w:tcPr/>
          <w:p>
            <w:pPr>
              <w:pStyle w:val="Compact"/>
              <w:jc w:val="left"/>
            </w:pPr>
            <w:r>
              <w:rPr>
                <w:bCs/>
                <w:b/>
              </w:rPr>
              <w:t xml:space="preserve">Metric</w:t>
            </w:r>
          </w:p>
        </w:tc>
        <w:tc>
          <w:tcPr/>
          <w:p>
            <w:pPr>
              <w:pStyle w:val="Compact"/>
              <w:jc w:val="center"/>
            </w:pPr>
            <w:r>
              <w:rPr>
                <w:bCs/>
                <w:b/>
              </w:rPr>
              <w:t xml:space="preserve">Value</w:t>
            </w:r>
          </w:p>
        </w:tc>
        <w:tc>
          <w:tcPr/>
          <w:p>
            <w:pPr>
              <w:pStyle w:val="Compact"/>
            </w:pPr>
          </w:p>
        </w:tc>
      </w:tr>
      <w:tr>
        <w:tc>
          <w:tcPr/>
          <w:p>
            <w:pPr>
              <w:pStyle w:val="Compact"/>
            </w:pPr>
          </w:p>
        </w:tc>
        <w:tc>
          <w:tcPr/>
          <w:p>
            <w:pPr>
              <w:pStyle w:val="Compact"/>
              <w:jc w:val="center"/>
            </w:pPr>
            <w:r>
              <w:rPr>
                <w:bCs/>
                <w:b/>
              </w:rPr>
              <w:t xml:space="preserve">UT</w:t>
            </w:r>
          </w:p>
        </w:tc>
        <w:tc>
          <w:tcPr/>
          <w:p>
            <w:pPr>
              <w:pStyle w:val="Compact"/>
              <w:jc w:val="left"/>
            </w:pPr>
            <w:r>
              <w:t xml:space="preserve">Total</w:t>
            </w:r>
            <w:r>
              <w:rPr>
                <w:rStyle w:val="FootnoteReference"/>
              </w:rPr>
              <w:footnoteReference w:id="37"/>
            </w:r>
          </w:p>
        </w:tc>
      </w:tr>
      <w:tr>
        <w:tc>
          <w:tcPr/>
          <w:p>
            <w:pPr>
              <w:pStyle w:val="Compact"/>
              <w:jc w:val="left"/>
            </w:pPr>
            <w:r>
              <w:t xml:space="preserve">Total of students taught in organized courses</w:t>
            </w:r>
          </w:p>
        </w:tc>
        <w:tc>
          <w:tcPr/>
          <w:p>
            <w:pPr>
              <w:pStyle w:val="Compact"/>
              <w:jc w:val="center"/>
            </w:pPr>
            <w:r>
              <w:rPr>
                <w:bCs/>
                <w:b/>
              </w:rPr>
              <w:t xml:space="preserve">198</w:t>
            </w:r>
          </w:p>
        </w:tc>
        <w:tc>
          <w:tcPr/>
          <w:p>
            <w:pPr>
              <w:pStyle w:val="Compact"/>
              <w:jc w:val="left"/>
            </w:pPr>
            <w:r>
              <w:t xml:space="preserve">363</w:t>
            </w:r>
          </w:p>
        </w:tc>
      </w:tr>
      <w:tr>
        <w:tc>
          <w:tcPr/>
          <w:p>
            <w:pPr>
              <w:pStyle w:val="Compact"/>
              <w:jc w:val="left"/>
            </w:pPr>
            <w:r>
              <w:t xml:space="preserve">Average instructor evaluation for UG courses</w:t>
            </w:r>
          </w:p>
        </w:tc>
        <w:tc>
          <w:tcPr/>
          <w:p>
            <w:pPr>
              <w:pStyle w:val="Compact"/>
              <w:jc w:val="center"/>
            </w:pPr>
            <w:r>
              <w:rPr>
                <w:bCs/>
                <w:b/>
              </w:rPr>
              <w:t xml:space="preserve">3.9</w:t>
            </w:r>
          </w:p>
        </w:tc>
        <w:tc>
          <w:tcPr/>
          <w:p>
            <w:pPr>
              <w:pStyle w:val="Compact"/>
              <w:jc w:val="left"/>
            </w:pPr>
            <w:r>
              <w:t xml:space="preserve">4.1</w:t>
            </w:r>
          </w:p>
        </w:tc>
      </w:tr>
      <w:tr>
        <w:tc>
          <w:tcPr/>
          <w:p>
            <w:pPr>
              <w:pStyle w:val="Compact"/>
              <w:jc w:val="left"/>
            </w:pPr>
            <w:r>
              <w:t xml:space="preserve">Average instructor evaluation for Grad courses</w:t>
            </w:r>
          </w:p>
        </w:tc>
        <w:tc>
          <w:tcPr/>
          <w:p>
            <w:pPr>
              <w:pStyle w:val="Compact"/>
              <w:jc w:val="center"/>
            </w:pPr>
            <w:r>
              <w:rPr>
                <w:bCs/>
                <w:b/>
              </w:rPr>
              <w:t xml:space="preserve">4.5</w:t>
            </w:r>
          </w:p>
        </w:tc>
        <w:tc>
          <w:tcPr/>
          <w:p>
            <w:pPr>
              <w:pStyle w:val="Compact"/>
              <w:jc w:val="left"/>
            </w:pPr>
            <w:r>
              <w:t xml:space="preserve">4.5</w:t>
            </w:r>
          </w:p>
        </w:tc>
      </w:tr>
      <w:tr>
        <w:tc>
          <w:tcPr/>
          <w:p>
            <w:pPr>
              <w:pStyle w:val="Compact"/>
              <w:jc w:val="left"/>
            </w:pPr>
            <w:r>
              <w:t xml:space="preserve">Average course evaluation for UG courses</w:t>
            </w:r>
          </w:p>
        </w:tc>
        <w:tc>
          <w:tcPr/>
          <w:p>
            <w:pPr>
              <w:pStyle w:val="Compact"/>
              <w:jc w:val="center"/>
            </w:pPr>
            <w:r>
              <w:rPr>
                <w:bCs/>
                <w:b/>
              </w:rPr>
              <w:t xml:space="preserve">3.8</w:t>
            </w:r>
          </w:p>
        </w:tc>
        <w:tc>
          <w:tcPr/>
          <w:p>
            <w:pPr>
              <w:pStyle w:val="Compact"/>
              <w:jc w:val="left"/>
            </w:pPr>
            <w:r>
              <w:t xml:space="preserve">4.0</w:t>
            </w:r>
          </w:p>
        </w:tc>
      </w:tr>
      <w:tr>
        <w:tc>
          <w:tcPr/>
          <w:p>
            <w:pPr>
              <w:pStyle w:val="Compact"/>
              <w:jc w:val="left"/>
            </w:pPr>
            <w:r>
              <w:t xml:space="preserve">Average course evaluation for Grad courses</w:t>
            </w:r>
          </w:p>
        </w:tc>
        <w:tc>
          <w:tcPr/>
          <w:p>
            <w:pPr>
              <w:pStyle w:val="Compact"/>
              <w:jc w:val="center"/>
            </w:pPr>
            <w:r>
              <w:rPr>
                <w:bCs/>
                <w:b/>
              </w:rPr>
              <w:t xml:space="preserve">4.3</w:t>
            </w:r>
          </w:p>
        </w:tc>
        <w:tc>
          <w:tcPr/>
          <w:p>
            <w:pPr>
              <w:pStyle w:val="Compact"/>
              <w:jc w:val="left"/>
            </w:pPr>
            <w:r>
              <w:t xml:space="preserve">4.4</w:t>
            </w:r>
          </w:p>
        </w:tc>
      </w:tr>
    </w:tbl>
    <w:bookmarkEnd w:id="38"/>
    <w:bookmarkStart w:id="42" w:name="tab:semster"/>
    <w:p>
      <w:pPr>
        <w:pStyle w:val="TableCaption"/>
      </w:pPr>
      <w:r>
        <w:t xml:space="preserve">Course Schedule by Semester with Number of Students Indicated</w:t>
      </w:r>
    </w:p>
    <w:tbl>
      <w:tblPr>
        <w:tblStyle w:val="Table"/>
        <w:tblW w:type="auto" w:w="0"/>
        <w:tblLook w:firstRow="1" w:lastRow="0" w:firstColumn="0" w:lastColumn="0" w:noHBand="0" w:noVBand="0" w:val="0020"/>
        <w:jc w:val="start"/>
        <w:tblCaption w:val="Course Schedule by Semester with Number of Students Indicated"/>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UTSA</w:t>
            </w:r>
            <w:r>
              <w:rPr>
                <w:rStyle w:val="FootnoteReference"/>
              </w:rPr>
              <w:footnoteReference w:id="39"/>
            </w:r>
            <m:oMath>
              <m:sSup>
                <m:e>
                  <m:r>
                    <m:t>​</m:t>
                  </m:r>
                </m:e>
                <m:sup>
                  <m:r>
                    <m:rPr>
                      <m:sty m:val="p"/>
                    </m:rPr>
                    <m:t>,</m:t>
                  </m:r>
                </m:sup>
              </m:sSup>
            </m:oMath>
            <w:r>
              <w:rPr>
                <w:rStyle w:val="FootnoteReference"/>
              </w:rPr>
              <w:footnoteReference w:id="40"/>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UT-Austin</w:t>
            </w:r>
            <w:r>
              <w:rPr>
                <w:rStyle w:val="FootnoteReference"/>
              </w:rPr>
              <w:footnoteReference w:id="41"/>
            </w:r>
          </w:p>
        </w:tc>
        <w:tc>
          <w:tcPr/>
          <w:p>
            <w:pPr>
              <w:pStyle w:val="Compact"/>
            </w:pPr>
          </w:p>
        </w:tc>
        <w:tc>
          <w:tcPr/>
          <w:p>
            <w:pPr>
              <w:pStyle w:val="Compact"/>
            </w:pPr>
          </w:p>
        </w:tc>
        <w:tc>
          <w:tcPr/>
          <w:p>
            <w:pPr>
              <w:pStyle w:val="Compact"/>
            </w:pPr>
          </w:p>
        </w:tc>
      </w:tr>
      <w:tr>
        <w:tc>
          <w:tcPr/>
          <w:p>
            <w:pPr>
              <w:pStyle w:val="Compact"/>
              <w:jc w:val="left"/>
            </w:pPr>
            <w:r>
              <w:rPr>
                <w:bCs/>
                <w:b/>
              </w:rPr>
              <w:t xml:space="preserve">Course</w:t>
            </w:r>
          </w:p>
        </w:tc>
        <w:tc>
          <w:tcPr/>
          <w:p>
            <w:pPr>
              <w:pStyle w:val="Compact"/>
              <w:jc w:val="center"/>
            </w:pPr>
            <w:r>
              <w:rPr>
                <w:bCs/>
                <w:b/>
              </w:rPr>
              <w:t xml:space="preserve">F11</w:t>
            </w:r>
          </w:p>
        </w:tc>
        <w:tc>
          <w:tcPr/>
          <w:p>
            <w:pPr>
              <w:pStyle w:val="Compact"/>
              <w:jc w:val="left"/>
            </w:pPr>
            <w:r>
              <w:rPr>
                <w:bCs/>
                <w:b/>
              </w:rPr>
              <w:t xml:space="preserve">S12</w:t>
            </w:r>
          </w:p>
        </w:tc>
        <w:tc>
          <w:tcPr/>
          <w:p>
            <w:pPr>
              <w:pStyle w:val="Compact"/>
              <w:jc w:val="left"/>
            </w:pPr>
            <w:r>
              <w:rPr>
                <w:bCs/>
                <w:b/>
              </w:rPr>
              <w:t xml:space="preserve">F12</w:t>
            </w:r>
          </w:p>
        </w:tc>
        <w:tc>
          <w:tcPr/>
          <w:p>
            <w:pPr>
              <w:pStyle w:val="Compact"/>
              <w:jc w:val="left"/>
            </w:pPr>
            <w:r>
              <w:rPr>
                <w:bCs/>
                <w:b/>
              </w:rPr>
              <w:t xml:space="preserve">F13</w:t>
            </w:r>
          </w:p>
        </w:tc>
        <w:tc>
          <w:tcPr/>
          <w:p>
            <w:pPr>
              <w:pStyle w:val="Compact"/>
              <w:jc w:val="left"/>
            </w:pPr>
            <w:r>
              <w:rPr>
                <w:bCs/>
                <w:b/>
              </w:rPr>
              <w:t xml:space="preserve">S14</w:t>
            </w:r>
          </w:p>
        </w:tc>
        <w:tc>
          <w:tcPr/>
          <w:p>
            <w:pPr>
              <w:pStyle w:val="Compact"/>
              <w:jc w:val="center"/>
            </w:pPr>
            <w:r>
              <w:rPr>
                <w:bCs/>
                <w:b/>
              </w:rPr>
              <w:t xml:space="preserve">F14</w:t>
            </w:r>
          </w:p>
        </w:tc>
        <w:tc>
          <w:tcPr/>
          <w:p>
            <w:pPr>
              <w:pStyle w:val="Compact"/>
              <w:jc w:val="left"/>
            </w:pPr>
            <w:r>
              <w:rPr>
                <w:bCs/>
                <w:b/>
              </w:rPr>
              <w:t xml:space="preserve">S15</w:t>
            </w:r>
          </w:p>
        </w:tc>
        <w:tc>
          <w:tcPr/>
          <w:p>
            <w:pPr>
              <w:pStyle w:val="Compact"/>
              <w:jc w:val="left"/>
            </w:pPr>
            <w:r>
              <w:rPr>
                <w:bCs/>
                <w:b/>
              </w:rPr>
              <w:t xml:space="preserve">F15</w:t>
            </w:r>
          </w:p>
        </w:tc>
        <w:tc>
          <w:tcPr/>
          <w:p>
            <w:pPr>
              <w:pStyle w:val="Compact"/>
              <w:jc w:val="left"/>
            </w:pPr>
            <w:r>
              <w:rPr>
                <w:bCs/>
                <w:b/>
              </w:rPr>
              <w:t xml:space="preserve">S16</w:t>
            </w:r>
          </w:p>
        </w:tc>
      </w:tr>
      <w:tr>
        <w:tc>
          <w:tcPr/>
          <w:p>
            <w:pPr>
              <w:pStyle w:val="Compact"/>
              <w:jc w:val="left"/>
            </w:pPr>
            <w:r>
              <w:rPr>
                <w:bCs/>
                <w:b/>
              </w:rPr>
              <w:t xml:space="preserve">ME4603</w:t>
            </w:r>
          </w:p>
        </w:tc>
        <w:tc>
          <w:tcPr/>
          <w:p>
            <w:pPr>
              <w:pStyle w:val="Compact"/>
              <w:jc w:val="center"/>
            </w:pPr>
            <w:r>
              <w:t xml:space="preserve">21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ME6043</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ME4953/5013</w:t>
            </w:r>
          </w:p>
        </w:tc>
        <w:tc>
          <w:tcPr/>
          <w:p>
            <w:pPr>
              <w:pStyle w:val="Compact"/>
            </w:pPr>
          </w:p>
        </w:tc>
        <w:tc>
          <w:tcPr/>
          <w:p>
            <w:pPr>
              <w:pStyle w:val="Compact"/>
            </w:pPr>
          </w:p>
        </w:tc>
        <w:tc>
          <w:tcPr/>
          <w:p>
            <w:pPr>
              <w:pStyle w:val="Compact"/>
              <w:jc w:val="left"/>
            </w:pPr>
            <w:r>
              <w:t xml:space="preserve">39</w:t>
            </w:r>
          </w:p>
        </w:tc>
        <w:tc>
          <w:tcPr/>
          <w:p>
            <w:pPr>
              <w:pStyle w:val="Compact"/>
              <w:jc w:val="left"/>
            </w:pPr>
            <w:r>
              <w:t xml:space="preserve">48</w:t>
            </w:r>
          </w:p>
        </w:tc>
        <w:tc>
          <w:tcPr/>
          <w:p>
            <w:pPr>
              <w:pStyle w:val="Compact"/>
              <w:jc w:val="left"/>
            </w:pPr>
            <w:r>
              <w:t xml:space="preserve">48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PGE379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13</w:t>
            </w:r>
          </w:p>
        </w:tc>
        <w:tc>
          <w:tcPr/>
          <w:p>
            <w:pPr>
              <w:pStyle w:val="Compact"/>
            </w:pPr>
          </w:p>
        </w:tc>
        <w:tc>
          <w:tcPr/>
          <w:p>
            <w:pPr>
              <w:pStyle w:val="Compact"/>
              <w:jc w:val="left"/>
            </w:pPr>
            <w:r>
              <w:t xml:space="preserve">14</w:t>
            </w:r>
          </w:p>
        </w:tc>
        <w:tc>
          <w:tcPr/>
          <w:p>
            <w:pPr>
              <w:pStyle w:val="Compact"/>
            </w:pPr>
          </w:p>
        </w:tc>
      </w:tr>
      <w:tr>
        <w:tc>
          <w:tcPr/>
          <w:p>
            <w:pPr>
              <w:pStyle w:val="Compact"/>
              <w:jc w:val="left"/>
            </w:pPr>
            <w:r>
              <w:rPr>
                <w:bCs/>
                <w:b/>
              </w:rPr>
              <w:t xml:space="preserve">PGE334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81</w:t>
            </w:r>
          </w:p>
        </w:tc>
        <w:tc>
          <w:tcPr/>
          <w:p>
            <w:pPr>
              <w:pStyle w:val="Compact"/>
            </w:pPr>
          </w:p>
        </w:tc>
        <w:tc>
          <w:tcPr/>
          <w:p>
            <w:pPr>
              <w:pStyle w:val="Compact"/>
              <w:jc w:val="left"/>
            </w:pPr>
            <w:r>
              <w:t xml:space="preserve">25</w:t>
            </w:r>
          </w:p>
        </w:tc>
      </w:tr>
      <w:tr>
        <w:tc>
          <w:tcPr/>
          <w:p>
            <w:pPr>
              <w:pStyle w:val="Compact"/>
              <w:jc w:val="left"/>
            </w:pPr>
            <w:r>
              <w:rPr>
                <w:bCs/>
                <w:b/>
              </w:rPr>
              <w:t xml:space="preserve">PGE323M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65</w:t>
            </w:r>
          </w:p>
        </w:tc>
        <w:tc>
          <w:tcPr/>
          <w:p>
            <w:pPr>
              <w:pStyle w:val="Compact"/>
            </w:pPr>
          </w:p>
        </w:tc>
      </w:tr>
    </w:tbl>
    <w:bookmarkEnd w:id="42"/>
    <w:bookmarkEnd w:id="4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hyperlink r:id="rId21">
        <w:r>
          <w:rPr>
            <w:rStyle w:val="InternetLink"/>
          </w:rPr>
          <w:t xml:space="preserve">http://johnfoster.pge.utexas.edu/HPC/video-lectures/</w:t>
        </w:r>
      </w:hyperlink>
    </w:p>
  </w:footnote>
  <w:footnote w:id="23">
    <w:p>
      <w:pPr>
        <w:pStyle w:val="Footnote"/>
      </w:pPr>
      <w:r>
        <w:rPr>
          <w:rStyle w:val="FootnoteReference"/>
        </w:rPr>
        <w:footnoteRef/>
      </w:r>
      <w:r>
        <w:t xml:space="preserve"> </w:t>
      </w:r>
      <w:hyperlink r:id="rId24">
        <w:r>
          <w:rPr>
            <w:rStyle w:val="InternetLink"/>
          </w:rPr>
          <w:t xml:space="preserve">http://johnfoster.pge.utexas.edu/PGE383-AdvGeomechanics/</w:t>
        </w:r>
      </w:hyperlink>
    </w:p>
  </w:footnote>
  <w:footnote w:id="25">
    <w:p>
      <w:pPr>
        <w:pStyle w:val="Footnote"/>
      </w:pPr>
      <w:r>
        <w:rPr>
          <w:rStyle w:val="FootnoteReference"/>
        </w:rPr>
        <w:footnoteRef/>
      </w:r>
      <w:r>
        <w:t xml:space="preserve"> </w:t>
      </w:r>
      <w:hyperlink r:id="rId26">
        <w:r>
          <w:rPr>
            <w:rStyle w:val="InternetLink"/>
          </w:rPr>
          <w:t xml:space="preserve">http://johnfoster.pge.utexas.edu/PGE334-ResGeomechanics/</w:t>
        </w:r>
      </w:hyperlink>
    </w:p>
  </w:footnote>
  <w:footnote w:id="27">
    <w:p>
      <w:pPr>
        <w:pStyle w:val="Footnote"/>
      </w:pPr>
      <w:r>
        <w:rPr>
          <w:rStyle w:val="FootnoteReference"/>
        </w:rPr>
        <w:footnoteRef/>
      </w:r>
      <w:r>
        <w:t xml:space="preserve"> </w:t>
      </w:r>
      <w:hyperlink r:id="rId28">
        <w:r>
          <w:rPr>
            <w:rStyle w:val="InternetLink"/>
          </w:rPr>
          <w:t xml:space="preserve">http://johnfoster.pge.utexas.edu/PGE323M-ResEngineeringIII/</w:t>
        </w:r>
      </w:hyperlink>
    </w:p>
  </w:footnote>
  <w:footnote w:id="29">
    <w:p>
      <w:pPr>
        <w:pStyle w:val="Footnote"/>
      </w:pPr>
      <w:r>
        <w:rPr>
          <w:rStyle w:val="FootnoteReference"/>
        </w:rPr>
        <w:footnoteRef/>
      </w:r>
      <w:r>
        <w:t xml:space="preserve"> </w:t>
      </w:r>
      <w:hyperlink r:id="rId30">
        <w:r>
          <w:rPr>
            <w:rStyle w:val="InternetLink"/>
          </w:rPr>
          <w:t xml:space="preserve">https://github.com/johntfoster/numerical_methods_book/tree/master/mathematica_notebooks</w:t>
        </w:r>
      </w:hyperlink>
    </w:p>
  </w:footnote>
  <w:footnote w:id="31">
    <w:p>
      <w:pPr>
        <w:pStyle w:val="Footnote"/>
      </w:pPr>
      <w:r>
        <w:rPr>
          <w:rStyle w:val="FootnoteReference"/>
        </w:rPr>
        <w:footnoteRef/>
      </w:r>
      <w:r>
        <w:t xml:space="preserve"> </w:t>
      </w:r>
      <w:hyperlink r:id="rId32">
        <w:r>
          <w:rPr>
            <w:rStyle w:val="InternetLink"/>
          </w:rPr>
          <w:t xml:space="preserve">https://github.com/johntfoster/numerical_methods_book/blob/master/TableofContents.ipynb</w:t>
        </w:r>
      </w:hyperlink>
    </w:p>
  </w:footnote>
  <w:footnote w:id="33">
    <w:p>
      <w:pPr>
        <w:pStyle w:val="Footnote"/>
      </w:pPr>
      <w:r>
        <w:rPr>
          <w:rStyle w:val="FootnoteReference"/>
        </w:rPr>
        <w:footnoteRef/>
      </w:r>
      <w:r>
        <w:t xml:space="preserve"> </w:t>
      </w:r>
      <w:hyperlink r:id="rId34">
        <w:r>
          <w:rPr>
            <w:rStyle w:val="InternetLink"/>
          </w:rPr>
          <w:t xml:space="preserve">http://johntfoster.github.io/posts/git-and-github-tutorial.html</w:t>
        </w:r>
      </w:hyperlink>
    </w:p>
  </w:footnote>
  <w:footnote w:id="35">
    <w:p>
      <w:pPr>
        <w:pStyle w:val="Footnote"/>
      </w:pPr>
      <w:r>
        <w:rPr>
          <w:rStyle w:val="FootnoteReference"/>
        </w:rPr>
        <w:footnoteRef/>
      </w:r>
      <w:r>
        <w:t xml:space="preserve"> </w:t>
      </w:r>
      <w:hyperlink r:id="rId36">
        <w:r>
          <w:rPr>
            <w:rStyle w:val="InternetLink"/>
          </w:rPr>
          <w:t xml:space="preserve">http://johntfoster.github.io/</w:t>
        </w:r>
      </w:hyperlink>
    </w:p>
  </w:footnote>
  <w:footnote w:id="37">
    <w:p>
      <w:pPr>
        <w:pStyle w:val="Footnote"/>
      </w:pPr>
      <w:r>
        <w:rPr>
          <w:rStyle w:val="FootnoteReference"/>
        </w:rPr>
        <w:footnoteRef/>
      </w:r>
      <w:r>
        <w:t xml:space="preserve"> </w:t>
      </w:r>
      <w:r>
        <w:t xml:space="preserve">ME4953/5013 was a co-listed graduate and undergraduate class. The majority of the students were graduate students and the course was taught as a graduate class, i.e. there were no special assignments or exceptions made for undergraduates in the course. The evaluations were performed together and combined so I used the results for this course only for the Grad course averages.</w:t>
      </w:r>
    </w:p>
  </w:footnote>
  <w:footnote w:id="39">
    <w:p>
      <w:pPr>
        <w:pStyle w:val="Footnote"/>
      </w:pPr>
      <w:r>
        <w:rPr>
          <w:rStyle w:val="FootnoteReference"/>
        </w:rPr>
        <w:footnoteRef/>
      </w:r>
      <w:r>
        <w:t xml:space="preserve"> </w:t>
      </w:r>
      <w:r>
        <w:t xml:space="preserve">My teaching workload was 1 course per semester for my first 2 years at UTSA</w:t>
      </w:r>
    </w:p>
  </w:footnote>
  <w:footnote w:id="40">
    <w:p>
      <w:pPr>
        <w:pStyle w:val="Footnote"/>
      </w:pPr>
      <w:r>
        <w:rPr>
          <w:rStyle w:val="FootnoteReference"/>
        </w:rPr>
        <w:footnoteRef/>
      </w:r>
      <w:r>
        <w:t xml:space="preserve"> </w:t>
      </w:r>
      <w:r>
        <w:t xml:space="preserve">S13 was a teaching buyout</w:t>
      </w:r>
    </w:p>
  </w:footnote>
  <w:footnote w:id="41">
    <w:p>
      <w:pPr>
        <w:pStyle w:val="Footnote"/>
      </w:pPr>
      <w:r>
        <w:rPr>
          <w:rStyle w:val="FootnoteReference"/>
        </w:rPr>
        <w:footnoteRef/>
      </w:r>
      <w:r>
        <w:t xml:space="preserve"> </w:t>
      </w:r>
      <w:r>
        <w:t xml:space="preserve">My teaching workload was 1 course per semester for my first year at UT-Austin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johnfoster.pge.utexas.edu/HPC/video-lectures/" TargetMode="External" /><Relationship Type="http://schemas.openxmlformats.org/officeDocument/2006/relationships/hyperlink" Id="rId28" Target="http://johnfoster.pge.utexas.edu/PGE323M-ResEngineeringIII/" TargetMode="External" /><Relationship Type="http://schemas.openxmlformats.org/officeDocument/2006/relationships/hyperlink" Id="rId26" Target="http://johnfoster.pge.utexas.edu/PGE334-ResGeomechanics/" TargetMode="External" /><Relationship Type="http://schemas.openxmlformats.org/officeDocument/2006/relationships/hyperlink" Id="rId24" Target="http://johnfoster.pge.utexas.edu/PGE383-AdvGeomechanics/" TargetMode="External" /><Relationship Type="http://schemas.openxmlformats.org/officeDocument/2006/relationships/hyperlink" Id="rId36" Target="http://johntfoster.github.io/" TargetMode="External" /><Relationship Type="http://schemas.openxmlformats.org/officeDocument/2006/relationships/hyperlink" Id="rId34" Target="http://johntfoster.github.io/posts/git-and-github-tutorial.html" TargetMode="External" /><Relationship Type="http://schemas.openxmlformats.org/officeDocument/2006/relationships/hyperlink" Id="rId32" Target="https://github.com/johntfoster/numerical_methods_book/blob/master/TableofContents.ipynb" TargetMode="External" /><Relationship Type="http://schemas.openxmlformats.org/officeDocument/2006/relationships/hyperlink" Id="rId30" Target="https://github.com/johntfoster/numerical_methods_book/tree/master/mathematica_notebooks" TargetMode="External" /></Relationships>
</file>

<file path=word/_rels/footnotes.xml.rels><?xml version="1.0" encoding="UTF-8"?><Relationships xmlns="http://schemas.openxmlformats.org/package/2006/relationships"><Relationship Type="http://schemas.openxmlformats.org/officeDocument/2006/relationships/hyperlink" Id="rId21" Target="http://johnfoster.pge.utexas.edu/HPC/video-lectures/" TargetMode="External" /><Relationship Type="http://schemas.openxmlformats.org/officeDocument/2006/relationships/hyperlink" Id="rId28" Target="http://johnfoster.pge.utexas.edu/PGE323M-ResEngineeringIII/" TargetMode="External" /><Relationship Type="http://schemas.openxmlformats.org/officeDocument/2006/relationships/hyperlink" Id="rId26" Target="http://johnfoster.pge.utexas.edu/PGE334-ResGeomechanics/" TargetMode="External" /><Relationship Type="http://schemas.openxmlformats.org/officeDocument/2006/relationships/hyperlink" Id="rId24" Target="http://johnfoster.pge.utexas.edu/PGE383-AdvGeomechanics/" TargetMode="External" /><Relationship Type="http://schemas.openxmlformats.org/officeDocument/2006/relationships/hyperlink" Id="rId36" Target="http://johntfoster.github.io/" TargetMode="External" /><Relationship Type="http://schemas.openxmlformats.org/officeDocument/2006/relationships/hyperlink" Id="rId34" Target="http://johntfoster.github.io/posts/git-and-github-tutorial.html" TargetMode="External" /><Relationship Type="http://schemas.openxmlformats.org/officeDocument/2006/relationships/hyperlink" Id="rId32" Target="https://github.com/johntfoster/numerical_methods_book/blob/master/TableofContents.ipynb" TargetMode="External" /><Relationship Type="http://schemas.openxmlformats.org/officeDocument/2006/relationships/hyperlink" Id="rId30" Target="https://github.com/johntfoster/numerical_methods_book/tree/master/mathematica_note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2023-07-09T18:55:13Z</dcterms:created>
  <dcterms:modified xsi:type="dcterms:W3CDTF">2023-07-09T18:55:13Z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