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2FC84C" w14:textId="0BCB62CD" w:rsidR="00A45372" w:rsidRPr="00A45372" w:rsidRDefault="00A45372" w:rsidP="00A45372">
      <w:pPr>
        <w:rPr>
          <w:b/>
          <w:bCs/>
        </w:rPr>
      </w:pPr>
      <w:r w:rsidRPr="00CD4974">
        <w:rPr>
          <w:b/>
          <w:bCs/>
        </w:rPr>
        <w:t>Unit 10 Seminar</w:t>
      </w:r>
      <w:r>
        <w:rPr>
          <w:b/>
          <w:bCs/>
        </w:rPr>
        <w:t xml:space="preserve"> -</w:t>
      </w:r>
      <w:r w:rsidRPr="00CD4974">
        <w:rPr>
          <w:b/>
          <w:bCs/>
        </w:rPr>
        <w:t xml:space="preserve"> DR Solutions Design and Review</w:t>
      </w:r>
    </w:p>
    <w:p w14:paraId="7823EE49" w14:textId="77777777" w:rsidR="00A45372" w:rsidRPr="00287436" w:rsidRDefault="00A45372" w:rsidP="00A45372">
      <w:pPr>
        <w:rPr>
          <w:b/>
          <w:bCs/>
        </w:rPr>
      </w:pPr>
      <w:r w:rsidRPr="00287436">
        <w:rPr>
          <w:b/>
          <w:bCs/>
        </w:rPr>
        <w:t>Part A</w:t>
      </w:r>
    </w:p>
    <w:p w14:paraId="15796F31" w14:textId="77777777" w:rsidR="00A45372" w:rsidRPr="00287436" w:rsidRDefault="00A45372" w:rsidP="00A45372">
      <w:pPr>
        <w:rPr>
          <w:b/>
          <w:bCs/>
        </w:rPr>
      </w:pPr>
      <w:r w:rsidRPr="00287436">
        <w:rPr>
          <w:b/>
          <w:bCs/>
        </w:rPr>
        <w:t>1. Vendor Lock-In Issues</w:t>
      </w:r>
    </w:p>
    <w:p w14:paraId="6EAB6A43" w14:textId="77777777" w:rsidR="00A45372" w:rsidRPr="00287436" w:rsidRDefault="00A45372" w:rsidP="00A45372">
      <w:r w:rsidRPr="00287436">
        <w:t>Vendor lock-in is a significant concern in cloud environments when organi</w:t>
      </w:r>
      <w:r>
        <w:t>s</w:t>
      </w:r>
      <w:r w:rsidRPr="00287436">
        <w:t>ations face difficulties switching providers due to proprietary technologies, contractual limitations, or operational dependencies (Opara-Martins et al., 2014; Morrow et al., 2021).</w:t>
      </w:r>
    </w:p>
    <w:p w14:paraId="411886C6" w14:textId="77777777" w:rsidR="00A45372" w:rsidRPr="00287436" w:rsidRDefault="00A45372" w:rsidP="00A45372">
      <w:r w:rsidRPr="00287436">
        <w:rPr>
          <w:b/>
          <w:bCs/>
        </w:rPr>
        <w:t>Main Issues Identified:</w:t>
      </w:r>
    </w:p>
    <w:p w14:paraId="64F72C46" w14:textId="77777777" w:rsidR="00A45372" w:rsidRPr="00287436" w:rsidRDefault="00A45372" w:rsidP="00A45372">
      <w:pPr>
        <w:numPr>
          <w:ilvl w:val="0"/>
          <w:numId w:val="4"/>
        </w:numPr>
      </w:pPr>
      <w:r w:rsidRPr="00287436">
        <w:rPr>
          <w:b/>
          <w:bCs/>
        </w:rPr>
        <w:t>Proprietary APIs and Formats:</w:t>
      </w:r>
      <w:r w:rsidRPr="00287436">
        <w:t xml:space="preserve"> Vendors use unique APIs or data structures that complicate migration and interoperability (Opara-Martins et al., 2014).</w:t>
      </w:r>
    </w:p>
    <w:p w14:paraId="796A6B2B" w14:textId="77777777" w:rsidR="00A45372" w:rsidRPr="00287436" w:rsidRDefault="00A45372" w:rsidP="00A45372">
      <w:pPr>
        <w:numPr>
          <w:ilvl w:val="0"/>
          <w:numId w:val="4"/>
        </w:numPr>
      </w:pPr>
      <w:r w:rsidRPr="00287436">
        <w:rPr>
          <w:b/>
          <w:bCs/>
        </w:rPr>
        <w:t>Data Portability Challenges:</w:t>
      </w:r>
      <w:r w:rsidRPr="00287436">
        <w:t xml:space="preserve"> Exporting data to other vendors often requires custom integrations, making the process time-consuming and expensive (Morrow et al., 2021).</w:t>
      </w:r>
    </w:p>
    <w:p w14:paraId="029E467D" w14:textId="77777777" w:rsidR="00A45372" w:rsidRPr="00287436" w:rsidRDefault="00A45372" w:rsidP="00A45372">
      <w:pPr>
        <w:numPr>
          <w:ilvl w:val="0"/>
          <w:numId w:val="4"/>
        </w:numPr>
      </w:pPr>
      <w:r w:rsidRPr="00287436">
        <w:rPr>
          <w:b/>
          <w:bCs/>
        </w:rPr>
        <w:t>Dependence on Vendor-Specific Ecosystems:</w:t>
      </w:r>
      <w:r w:rsidRPr="00287436">
        <w:t xml:space="preserve"> Reliance on a vendor’s ecosystem may reduce flexibility in adopting alternative solutions (Opara-Martins et al., 2014).</w:t>
      </w:r>
    </w:p>
    <w:p w14:paraId="0D02D240" w14:textId="77777777" w:rsidR="00A45372" w:rsidRPr="00287436" w:rsidRDefault="00A45372" w:rsidP="00A45372">
      <w:r w:rsidRPr="00287436">
        <w:rPr>
          <w:b/>
          <w:bCs/>
        </w:rPr>
        <w:t>Mitigation Strategies:</w:t>
      </w:r>
    </w:p>
    <w:p w14:paraId="40489481" w14:textId="77777777" w:rsidR="00A45372" w:rsidRPr="00287436" w:rsidRDefault="00A45372" w:rsidP="00A45372">
      <w:pPr>
        <w:numPr>
          <w:ilvl w:val="0"/>
          <w:numId w:val="5"/>
        </w:numPr>
      </w:pPr>
      <w:r w:rsidRPr="00287436">
        <w:rPr>
          <w:b/>
          <w:bCs/>
        </w:rPr>
        <w:t>Standards-Based Solutions:</w:t>
      </w:r>
      <w:r w:rsidRPr="00287436">
        <w:t xml:space="preserve"> Utili</w:t>
      </w:r>
      <w:r>
        <w:t>s</w:t>
      </w:r>
      <w:r w:rsidRPr="00287436">
        <w:t>e open-standard technologies such as OpenStack or Kubernetes, enabling easier migration between platforms (Opara-Martins et al., 2014).</w:t>
      </w:r>
    </w:p>
    <w:p w14:paraId="3B75ECA0" w14:textId="77777777" w:rsidR="00A45372" w:rsidRPr="00287436" w:rsidRDefault="00A45372" w:rsidP="00A45372">
      <w:pPr>
        <w:numPr>
          <w:ilvl w:val="0"/>
          <w:numId w:val="5"/>
        </w:numPr>
      </w:pPr>
      <w:r w:rsidRPr="00287436">
        <w:rPr>
          <w:b/>
          <w:bCs/>
        </w:rPr>
        <w:t>Multi-Cloud Strategies:</w:t>
      </w:r>
      <w:r w:rsidRPr="00287436">
        <w:t xml:space="preserve"> Distribute workloads across multiple providers to reduce reliance on a single vendor (Morrow et al., 2021).</w:t>
      </w:r>
    </w:p>
    <w:p w14:paraId="36038387" w14:textId="77777777" w:rsidR="00A45372" w:rsidRPr="00287436" w:rsidRDefault="00A45372" w:rsidP="00A45372">
      <w:pPr>
        <w:numPr>
          <w:ilvl w:val="0"/>
          <w:numId w:val="5"/>
        </w:numPr>
      </w:pPr>
      <w:r w:rsidRPr="00287436">
        <w:rPr>
          <w:b/>
          <w:bCs/>
        </w:rPr>
        <w:t>Contractual Safeguards:</w:t>
      </w:r>
      <w:r w:rsidRPr="00287436">
        <w:t xml:space="preserve"> Negotiate agreements that ensure data export in a standard format (Morrow et al., 2021).</w:t>
      </w:r>
    </w:p>
    <w:p w14:paraId="3FD99DDF" w14:textId="77777777" w:rsidR="00A45372" w:rsidRPr="00287436" w:rsidRDefault="00A45372" w:rsidP="00A45372">
      <w:pPr>
        <w:numPr>
          <w:ilvl w:val="0"/>
          <w:numId w:val="5"/>
        </w:numPr>
      </w:pPr>
      <w:r w:rsidRPr="00287436">
        <w:rPr>
          <w:b/>
          <w:bCs/>
        </w:rPr>
        <w:t>Use of Containers:</w:t>
      </w:r>
      <w:r w:rsidRPr="00287436">
        <w:t xml:space="preserve"> Employ containeri</w:t>
      </w:r>
      <w:r>
        <w:t>s</w:t>
      </w:r>
      <w:r w:rsidRPr="00287436">
        <w:t>ation (e.g., Docker) to enhance application portability across cloud environments (Opara-Martins et al., 2014).</w:t>
      </w:r>
    </w:p>
    <w:p w14:paraId="1A8A46F6" w14:textId="77777777" w:rsidR="00A45372" w:rsidRPr="00287436" w:rsidRDefault="00A45372" w:rsidP="00A45372"/>
    <w:p w14:paraId="45D101C4" w14:textId="77777777" w:rsidR="00A45372" w:rsidRPr="00287436" w:rsidRDefault="00A45372" w:rsidP="00A45372">
      <w:pPr>
        <w:rPr>
          <w:b/>
          <w:bCs/>
        </w:rPr>
      </w:pPr>
      <w:r w:rsidRPr="00287436">
        <w:rPr>
          <w:b/>
          <w:bCs/>
        </w:rPr>
        <w:t>2. Security Concerns in the Modern Cloud</w:t>
      </w:r>
    </w:p>
    <w:p w14:paraId="7E3D9118" w14:textId="77777777" w:rsidR="00A45372" w:rsidRPr="00287436" w:rsidRDefault="00A45372" w:rsidP="00A45372">
      <w:r w:rsidRPr="00287436">
        <w:t>Modern cloud environments introduce numerous security risks that require mitigation to maintain data integrity, confidentiality, and compliance. Key concerns include data breaches, misconfigurations, insider threats, and regulatory compliance challenges (Opara-Martins et al., 2014; Morrow et al., 2021).</w:t>
      </w:r>
    </w:p>
    <w:p w14:paraId="1AF43E35" w14:textId="77777777" w:rsidR="00A45372" w:rsidRPr="00287436" w:rsidRDefault="00A45372" w:rsidP="00A45372">
      <w:r w:rsidRPr="00287436">
        <w:rPr>
          <w:b/>
          <w:bCs/>
        </w:rPr>
        <w:t>Main Concerns:</w:t>
      </w:r>
    </w:p>
    <w:p w14:paraId="27032DBB" w14:textId="77777777" w:rsidR="00A45372" w:rsidRPr="00287436" w:rsidRDefault="00A45372" w:rsidP="00A45372">
      <w:pPr>
        <w:numPr>
          <w:ilvl w:val="0"/>
          <w:numId w:val="6"/>
        </w:numPr>
      </w:pPr>
      <w:r w:rsidRPr="00287436">
        <w:rPr>
          <w:b/>
          <w:bCs/>
        </w:rPr>
        <w:lastRenderedPageBreak/>
        <w:t>Data Breaches:</w:t>
      </w:r>
      <w:r w:rsidRPr="00287436">
        <w:t xml:space="preserve"> Cloud environments consolidate sensitive data, making them attractive targets for cyberattacks (Morrow et al., 2021).</w:t>
      </w:r>
    </w:p>
    <w:p w14:paraId="3FFE146F" w14:textId="77777777" w:rsidR="00A45372" w:rsidRPr="00287436" w:rsidRDefault="00A45372" w:rsidP="00A45372">
      <w:pPr>
        <w:numPr>
          <w:ilvl w:val="0"/>
          <w:numId w:val="6"/>
        </w:numPr>
      </w:pPr>
      <w:r w:rsidRPr="00287436">
        <w:rPr>
          <w:b/>
          <w:bCs/>
        </w:rPr>
        <w:t>Insider Threats:</w:t>
      </w:r>
      <w:r w:rsidRPr="00287436">
        <w:t xml:space="preserve"> Unauthori</w:t>
      </w:r>
      <w:r>
        <w:t>s</w:t>
      </w:r>
      <w:r w:rsidRPr="00287436">
        <w:t>ed access by malicious or negligent personnel poses risks (Opara-Martins et al., 2014).</w:t>
      </w:r>
    </w:p>
    <w:p w14:paraId="1162B454" w14:textId="77777777" w:rsidR="00A45372" w:rsidRPr="00287436" w:rsidRDefault="00A45372" w:rsidP="00A45372">
      <w:pPr>
        <w:numPr>
          <w:ilvl w:val="0"/>
          <w:numId w:val="6"/>
        </w:numPr>
      </w:pPr>
      <w:r w:rsidRPr="00287436">
        <w:rPr>
          <w:b/>
          <w:bCs/>
        </w:rPr>
        <w:t>Misconfigurations:</w:t>
      </w:r>
      <w:r w:rsidRPr="00287436">
        <w:t xml:space="preserve"> Incorrect setups of cloud services can unintentionally expose sensitive data (Morrow et al., 2021).</w:t>
      </w:r>
    </w:p>
    <w:p w14:paraId="12ACB15E" w14:textId="77777777" w:rsidR="00A45372" w:rsidRPr="00287436" w:rsidRDefault="00A45372" w:rsidP="00A45372">
      <w:pPr>
        <w:numPr>
          <w:ilvl w:val="0"/>
          <w:numId w:val="6"/>
        </w:numPr>
      </w:pPr>
      <w:r w:rsidRPr="00287436">
        <w:rPr>
          <w:b/>
          <w:bCs/>
        </w:rPr>
        <w:t>Compliance Issues:</w:t>
      </w:r>
      <w:r w:rsidRPr="00287436">
        <w:t xml:space="preserve"> Adhering to regulations such as GDPR and HIPAA can be complex in shared infrastructure environments (Morrow et al., 2021).</w:t>
      </w:r>
    </w:p>
    <w:p w14:paraId="061D1521" w14:textId="77777777" w:rsidR="00A45372" w:rsidRPr="00287436" w:rsidRDefault="00A45372" w:rsidP="00A45372">
      <w:r w:rsidRPr="00287436">
        <w:rPr>
          <w:b/>
          <w:bCs/>
        </w:rPr>
        <w:t>Mitigation Strategies:</w:t>
      </w:r>
    </w:p>
    <w:p w14:paraId="24C04C63" w14:textId="77777777" w:rsidR="00A45372" w:rsidRPr="00287436" w:rsidRDefault="00A45372" w:rsidP="00A45372">
      <w:pPr>
        <w:numPr>
          <w:ilvl w:val="0"/>
          <w:numId w:val="7"/>
        </w:numPr>
      </w:pPr>
      <w:r w:rsidRPr="00287436">
        <w:rPr>
          <w:b/>
          <w:bCs/>
        </w:rPr>
        <w:t>Encryption:</w:t>
      </w:r>
      <w:r w:rsidRPr="00287436">
        <w:t xml:space="preserve"> Encrypt data at rest and in transit to prevent unauthorized access (Opara-Martins et al., 2014).</w:t>
      </w:r>
    </w:p>
    <w:p w14:paraId="003F2AB1" w14:textId="77777777" w:rsidR="00A45372" w:rsidRPr="00287436" w:rsidRDefault="00A45372" w:rsidP="00A45372">
      <w:pPr>
        <w:numPr>
          <w:ilvl w:val="0"/>
          <w:numId w:val="7"/>
        </w:numPr>
      </w:pPr>
      <w:r w:rsidRPr="00287436">
        <w:rPr>
          <w:b/>
          <w:bCs/>
        </w:rPr>
        <w:t>Access Control Policies:</w:t>
      </w:r>
      <w:r w:rsidRPr="00287436">
        <w:t xml:space="preserve"> Implement robust IAM policies, including multi-factor authentication (MFA) and the principle of least privilege (Morrow et al., 2021).</w:t>
      </w:r>
    </w:p>
    <w:p w14:paraId="125568AC" w14:textId="77777777" w:rsidR="00A45372" w:rsidRPr="00287436" w:rsidRDefault="00A45372" w:rsidP="00A45372">
      <w:pPr>
        <w:numPr>
          <w:ilvl w:val="0"/>
          <w:numId w:val="7"/>
        </w:numPr>
      </w:pPr>
      <w:r w:rsidRPr="00287436">
        <w:rPr>
          <w:b/>
          <w:bCs/>
        </w:rPr>
        <w:t>Cloud Security Posture Management (CSPM):</w:t>
      </w:r>
      <w:r w:rsidRPr="00287436">
        <w:t xml:space="preserve"> Use automated tools to identify and resolve configuration vulnerabilities (Morrow et al., 2021).</w:t>
      </w:r>
    </w:p>
    <w:p w14:paraId="719D53F1" w14:textId="77777777" w:rsidR="00A45372" w:rsidRPr="00287436" w:rsidRDefault="00A45372" w:rsidP="00A45372">
      <w:pPr>
        <w:numPr>
          <w:ilvl w:val="0"/>
          <w:numId w:val="7"/>
        </w:numPr>
      </w:pPr>
      <w:r w:rsidRPr="00287436">
        <w:rPr>
          <w:b/>
          <w:bCs/>
        </w:rPr>
        <w:t>Continuous Monitoring:</w:t>
      </w:r>
      <w:r w:rsidRPr="00287436">
        <w:t xml:space="preserve"> Conduct regular audits and monitor for security anomalies to ensure compliance (Opara-Martins et al., 2014).</w:t>
      </w:r>
    </w:p>
    <w:p w14:paraId="00564E72" w14:textId="77777777" w:rsidR="00A45372" w:rsidRPr="001D5425" w:rsidRDefault="00A45372" w:rsidP="00A45372">
      <w:r w:rsidRPr="001D5425">
        <w:rPr>
          <w:b/>
          <w:bCs/>
        </w:rPr>
        <w:t>Part B</w:t>
      </w:r>
    </w:p>
    <w:p w14:paraId="0A0C2257" w14:textId="77777777" w:rsidR="00A45372" w:rsidRPr="001D5425" w:rsidRDefault="00A45372" w:rsidP="00A45372">
      <w:r w:rsidRPr="001D5425">
        <w:rPr>
          <w:b/>
          <w:bCs/>
        </w:rPr>
        <w:t>High-Level DR Solution Diagrams</w:t>
      </w:r>
    </w:p>
    <w:p w14:paraId="0E8E1C8E" w14:textId="77777777" w:rsidR="00A45372" w:rsidRPr="001D5425" w:rsidRDefault="00A45372" w:rsidP="00A45372">
      <w:r w:rsidRPr="001D5425">
        <w:rPr>
          <w:b/>
          <w:bCs/>
        </w:rPr>
        <w:t>1. RPO= 1 hr; RTO= 8 hrs; HA Required</w:t>
      </w:r>
    </w:p>
    <w:p w14:paraId="7CEA373C" w14:textId="77777777" w:rsidR="00A45372" w:rsidRPr="007F4248" w:rsidRDefault="00A45372" w:rsidP="00A45372">
      <w:pPr>
        <w:rPr>
          <w:b/>
          <w:bCs/>
        </w:rPr>
      </w:pPr>
      <w:r w:rsidRPr="007F4248">
        <w:rPr>
          <w:b/>
          <w:bCs/>
        </w:rPr>
        <w:t>Design Overview:</w:t>
      </w:r>
    </w:p>
    <w:p w14:paraId="4055EA93" w14:textId="77777777" w:rsidR="00A45372" w:rsidRPr="007F4248" w:rsidRDefault="00A45372" w:rsidP="00A45372">
      <w:pPr>
        <w:numPr>
          <w:ilvl w:val="0"/>
          <w:numId w:val="1"/>
        </w:numPr>
      </w:pPr>
      <w:r w:rsidRPr="007F4248">
        <w:t>This solution uses a primary-secondary cloud architecture with automated failover for disaster recovery.</w:t>
      </w:r>
    </w:p>
    <w:p w14:paraId="3B14EFAE" w14:textId="77777777" w:rsidR="00A45372" w:rsidRPr="001D5425" w:rsidRDefault="00A45372" w:rsidP="00A45372">
      <w:pPr>
        <w:numPr>
          <w:ilvl w:val="0"/>
          <w:numId w:val="1"/>
        </w:numPr>
      </w:pPr>
      <w:r w:rsidRPr="001D5425">
        <w:rPr>
          <w:b/>
          <w:bCs/>
        </w:rPr>
        <w:t>Description:</w:t>
      </w:r>
      <w:r w:rsidRPr="001D5425">
        <w:t xml:space="preserve"> This scenario requires a highly resilient solution with minimal data loss and rapid recovery.</w:t>
      </w:r>
    </w:p>
    <w:p w14:paraId="2D3BBDBB" w14:textId="77777777" w:rsidR="00A45372" w:rsidRPr="001D5425" w:rsidRDefault="00A45372" w:rsidP="00A45372">
      <w:pPr>
        <w:numPr>
          <w:ilvl w:val="0"/>
          <w:numId w:val="1"/>
        </w:numPr>
      </w:pPr>
      <w:r w:rsidRPr="001D5425">
        <w:rPr>
          <w:b/>
          <w:bCs/>
        </w:rPr>
        <w:t>Diagram:</w:t>
      </w:r>
      <w:r w:rsidRPr="001D5425">
        <w:t xml:space="preserve"> </w:t>
      </w:r>
    </w:p>
    <w:p w14:paraId="67EA6867" w14:textId="77777777" w:rsidR="00A45372" w:rsidRPr="009F0BF0" w:rsidRDefault="00A45372" w:rsidP="00A45372">
      <w:pPr>
        <w:numPr>
          <w:ilvl w:val="1"/>
          <w:numId w:val="1"/>
        </w:numPr>
      </w:pPr>
      <w:r w:rsidRPr="009F0BF0">
        <w:rPr>
          <w:b/>
          <w:bCs/>
        </w:rPr>
        <w:t xml:space="preserve">Data Replication: </w:t>
      </w:r>
      <w:r w:rsidRPr="009F0BF0">
        <w:t>Asynchronous replication to a geographically separate secondary site ensures data is up to date within the specified RPO (Opara-Martins et al., 2014).</w:t>
      </w:r>
    </w:p>
    <w:p w14:paraId="26B41D79" w14:textId="77777777" w:rsidR="00A45372" w:rsidRPr="001D5425" w:rsidRDefault="00A45372" w:rsidP="00A45372">
      <w:pPr>
        <w:numPr>
          <w:ilvl w:val="1"/>
          <w:numId w:val="1"/>
        </w:numPr>
      </w:pPr>
      <w:r w:rsidRPr="001D5425">
        <w:rPr>
          <w:b/>
          <w:bCs/>
        </w:rPr>
        <w:t>Active-Passive Cluster:</w:t>
      </w:r>
      <w:r w:rsidRPr="001D5425">
        <w:t xml:space="preserve"> Utilize an active-passive cluster configuration with real-time replication between the primary and secondary sites.</w:t>
      </w:r>
    </w:p>
    <w:p w14:paraId="66DB6D91" w14:textId="77777777" w:rsidR="00A45372" w:rsidRPr="001D5425" w:rsidRDefault="00A45372" w:rsidP="00A45372">
      <w:pPr>
        <w:numPr>
          <w:ilvl w:val="1"/>
          <w:numId w:val="1"/>
        </w:numPr>
      </w:pPr>
      <w:r w:rsidRPr="001D5425">
        <w:rPr>
          <w:b/>
          <w:bCs/>
        </w:rPr>
        <w:t>Components:</w:t>
      </w:r>
      <w:r w:rsidRPr="001D5425">
        <w:t xml:space="preserve"> Primary site with production servers, secondary site with standby servers, high-speed replication technology (e.g., synchronous replication)</w:t>
      </w:r>
      <w:r w:rsidRPr="00ED7E20">
        <w:t xml:space="preserve"> using services such as AWS EBS or Azure Site Recovery</w:t>
      </w:r>
      <w:r w:rsidRPr="001D5425">
        <w:t>, network connectivity with low latency and high bandwidth.</w:t>
      </w:r>
    </w:p>
    <w:p w14:paraId="0B073FE0" w14:textId="77777777" w:rsidR="00A45372" w:rsidRPr="001D5425" w:rsidRDefault="00A45372" w:rsidP="00A45372">
      <w:pPr>
        <w:numPr>
          <w:ilvl w:val="1"/>
          <w:numId w:val="1"/>
        </w:numPr>
      </w:pPr>
      <w:r w:rsidRPr="001D5425">
        <w:rPr>
          <w:b/>
          <w:bCs/>
        </w:rPr>
        <w:t>Failover Mechanism:</w:t>
      </w:r>
      <w:r w:rsidRPr="001D5425">
        <w:t xml:space="preserve"> Automated failover mechanism to quickly switch to the secondary site in case of a disaster at the primary site.</w:t>
      </w:r>
    </w:p>
    <w:p w14:paraId="302A32F1" w14:textId="77777777" w:rsidR="00A45372" w:rsidRPr="001D5425" w:rsidRDefault="00A45372" w:rsidP="00A45372">
      <w:r w:rsidRPr="001D5425">
        <w:rPr>
          <w:b/>
          <w:bCs/>
        </w:rPr>
        <w:t>2. RPO= 24 hrs; RTO = 72 hrs; HA Not Required</w:t>
      </w:r>
    </w:p>
    <w:p w14:paraId="5DF114BA" w14:textId="77777777" w:rsidR="00A45372" w:rsidRPr="00766D00" w:rsidRDefault="00A45372" w:rsidP="00A45372">
      <w:pPr>
        <w:rPr>
          <w:b/>
          <w:bCs/>
        </w:rPr>
      </w:pPr>
      <w:r w:rsidRPr="00766D00">
        <w:rPr>
          <w:b/>
          <w:bCs/>
        </w:rPr>
        <w:t>Design Overview:</w:t>
      </w:r>
    </w:p>
    <w:p w14:paraId="04B500DC" w14:textId="77777777" w:rsidR="00A45372" w:rsidRPr="00766D00" w:rsidRDefault="00A45372" w:rsidP="00A45372">
      <w:pPr>
        <w:numPr>
          <w:ilvl w:val="0"/>
          <w:numId w:val="1"/>
        </w:numPr>
      </w:pPr>
      <w:r w:rsidRPr="00766D00">
        <w:t>Focus on a backup-oriented approach to store data in cost-efficient solutions like AWS Glacier or Azure Backup.</w:t>
      </w:r>
    </w:p>
    <w:p w14:paraId="2EEEB0DE" w14:textId="77777777" w:rsidR="00A45372" w:rsidRPr="001D5425" w:rsidRDefault="00A45372" w:rsidP="00A45372">
      <w:pPr>
        <w:numPr>
          <w:ilvl w:val="0"/>
          <w:numId w:val="2"/>
        </w:numPr>
      </w:pPr>
      <w:r w:rsidRPr="001D5425">
        <w:rPr>
          <w:b/>
          <w:bCs/>
        </w:rPr>
        <w:t>Diagram:</w:t>
      </w:r>
      <w:r w:rsidRPr="001D5425">
        <w:t xml:space="preserve"> </w:t>
      </w:r>
    </w:p>
    <w:p w14:paraId="1604104A" w14:textId="77777777" w:rsidR="00A45372" w:rsidRPr="00766D00" w:rsidRDefault="00A45372" w:rsidP="00A45372">
      <w:pPr>
        <w:pStyle w:val="ListParagraph"/>
        <w:numPr>
          <w:ilvl w:val="1"/>
          <w:numId w:val="2"/>
        </w:numPr>
      </w:pPr>
      <w:r w:rsidRPr="00766D00">
        <w:rPr>
          <w:b/>
          <w:bCs/>
        </w:rPr>
        <w:t>Backup and Recovery:</w:t>
      </w:r>
      <w:r w:rsidRPr="001D5425">
        <w:t xml:space="preserve"> </w:t>
      </w:r>
      <w:r w:rsidRPr="00766D00">
        <w:t>Backups are taken daily to ensure the RPO is met, with manual recovery planned for the RTO window (Morrow et al., 2021).</w:t>
      </w:r>
    </w:p>
    <w:p w14:paraId="34F19FFB" w14:textId="77777777" w:rsidR="00A45372" w:rsidRDefault="00A45372" w:rsidP="00A45372">
      <w:pPr>
        <w:numPr>
          <w:ilvl w:val="1"/>
          <w:numId w:val="2"/>
        </w:numPr>
      </w:pPr>
      <w:r w:rsidRPr="001D5425">
        <w:rPr>
          <w:b/>
          <w:bCs/>
        </w:rPr>
        <w:t>Components:</w:t>
      </w:r>
    </w:p>
    <w:p w14:paraId="34932365" w14:textId="77777777" w:rsidR="00A45372" w:rsidRDefault="00A45372" w:rsidP="00A45372">
      <w:pPr>
        <w:numPr>
          <w:ilvl w:val="2"/>
          <w:numId w:val="2"/>
        </w:numPr>
      </w:pPr>
      <w:r>
        <w:t>Full and incremental backups.</w:t>
      </w:r>
    </w:p>
    <w:p w14:paraId="0BC1B0E9" w14:textId="77777777" w:rsidR="00A45372" w:rsidRDefault="00A45372" w:rsidP="00A45372">
      <w:pPr>
        <w:numPr>
          <w:ilvl w:val="2"/>
          <w:numId w:val="2"/>
        </w:numPr>
      </w:pPr>
      <w:r>
        <w:t>Manual recovery orchestration using documented procedures.</w:t>
      </w:r>
    </w:p>
    <w:p w14:paraId="20AC9E9B" w14:textId="77777777" w:rsidR="00A45372" w:rsidRPr="001D5425" w:rsidRDefault="00A45372" w:rsidP="00A45372">
      <w:pPr>
        <w:numPr>
          <w:ilvl w:val="2"/>
          <w:numId w:val="2"/>
        </w:numPr>
      </w:pPr>
      <w:r>
        <w:t>Cold storage to minimise costs.</w:t>
      </w:r>
    </w:p>
    <w:p w14:paraId="194D707C" w14:textId="77777777" w:rsidR="00A45372" w:rsidRPr="001D5425" w:rsidRDefault="00A45372" w:rsidP="00A45372">
      <w:pPr>
        <w:numPr>
          <w:ilvl w:val="1"/>
          <w:numId w:val="2"/>
        </w:numPr>
      </w:pPr>
      <w:r w:rsidRPr="001D5425">
        <w:rPr>
          <w:b/>
          <w:bCs/>
        </w:rPr>
        <w:t>Recovery Process:</w:t>
      </w:r>
      <w:r w:rsidRPr="001D5425">
        <w:t xml:space="preserve"> In case of a disaster, restore data and applications from backups at the off-site location.</w:t>
      </w:r>
    </w:p>
    <w:p w14:paraId="4AE10629" w14:textId="77777777" w:rsidR="00A45372" w:rsidRPr="001D5425" w:rsidRDefault="00A45372" w:rsidP="00A45372">
      <w:r w:rsidRPr="001D5425">
        <w:rPr>
          <w:b/>
          <w:bCs/>
        </w:rPr>
        <w:t>3. RPO= 5 mins; RTO= 1 hr; HA Required</w:t>
      </w:r>
    </w:p>
    <w:p w14:paraId="35B626D1" w14:textId="77777777" w:rsidR="00A45372" w:rsidRDefault="00A45372" w:rsidP="00A45372">
      <w:pPr>
        <w:numPr>
          <w:ilvl w:val="0"/>
          <w:numId w:val="3"/>
        </w:numPr>
      </w:pPr>
      <w:r w:rsidRPr="001D5425">
        <w:rPr>
          <w:b/>
          <w:bCs/>
        </w:rPr>
        <w:t>Description:</w:t>
      </w:r>
      <w:r w:rsidRPr="001D5425">
        <w:t xml:space="preserve"> This scenario requires a highly available solution with minimal data loss and rapid recovery, </w:t>
      </w:r>
      <w:proofErr w:type="gramStart"/>
      <w:r w:rsidRPr="001D5425">
        <w:t>similar to</w:t>
      </w:r>
      <w:proofErr w:type="gramEnd"/>
      <w:r w:rsidRPr="001D5425">
        <w:t xml:space="preserve"> scenario 1 but with more stringent RPO requirements.</w:t>
      </w:r>
      <w:r>
        <w:t xml:space="preserve"> </w:t>
      </w:r>
    </w:p>
    <w:p w14:paraId="27FBE430" w14:textId="77777777" w:rsidR="00A45372" w:rsidRDefault="00A45372" w:rsidP="00A45372">
      <w:pPr>
        <w:numPr>
          <w:ilvl w:val="1"/>
          <w:numId w:val="3"/>
        </w:numPr>
      </w:pPr>
      <w:r>
        <w:t>An active-active multi-region setup ensures zero downtime with synchronous replication between two active regions (Opara-Martins et al., 2014).</w:t>
      </w:r>
    </w:p>
    <w:p w14:paraId="056DCB20" w14:textId="77777777" w:rsidR="00A45372" w:rsidRPr="001D5425" w:rsidRDefault="00A45372" w:rsidP="00A45372">
      <w:pPr>
        <w:numPr>
          <w:ilvl w:val="1"/>
          <w:numId w:val="3"/>
        </w:numPr>
      </w:pPr>
      <w:r>
        <w:t>Real-time monitoring and automated failover ensure rapid recovery within the specified RTO.</w:t>
      </w:r>
    </w:p>
    <w:p w14:paraId="60163B40" w14:textId="77777777" w:rsidR="00A45372" w:rsidRPr="001D5425" w:rsidRDefault="00A45372" w:rsidP="00A45372">
      <w:pPr>
        <w:numPr>
          <w:ilvl w:val="0"/>
          <w:numId w:val="3"/>
        </w:numPr>
      </w:pPr>
      <w:r w:rsidRPr="001D5425">
        <w:rPr>
          <w:b/>
          <w:bCs/>
        </w:rPr>
        <w:t>Diagram:</w:t>
      </w:r>
      <w:r w:rsidRPr="001D5425">
        <w:t xml:space="preserve"> </w:t>
      </w:r>
    </w:p>
    <w:p w14:paraId="4FEC0208" w14:textId="77777777" w:rsidR="00A45372" w:rsidRPr="001D5425" w:rsidRDefault="00A45372" w:rsidP="00A45372">
      <w:pPr>
        <w:numPr>
          <w:ilvl w:val="1"/>
          <w:numId w:val="3"/>
        </w:numPr>
      </w:pPr>
      <w:r w:rsidRPr="001D5425">
        <w:rPr>
          <w:b/>
          <w:bCs/>
        </w:rPr>
        <w:t>Active-Active Cluster:</w:t>
      </w:r>
      <w:r w:rsidRPr="001D5425">
        <w:t xml:space="preserve"> Utili</w:t>
      </w:r>
      <w:r>
        <w:t>s</w:t>
      </w:r>
      <w:r w:rsidRPr="001D5425">
        <w:t>e an active-active cluster configuration with synchronous replication and load balancing between primary and secondary sites.</w:t>
      </w:r>
    </w:p>
    <w:p w14:paraId="2C16C972" w14:textId="77777777" w:rsidR="00A45372" w:rsidRDefault="00A45372" w:rsidP="00A45372">
      <w:pPr>
        <w:numPr>
          <w:ilvl w:val="1"/>
          <w:numId w:val="3"/>
        </w:numPr>
      </w:pPr>
      <w:r w:rsidRPr="001D5425">
        <w:rPr>
          <w:b/>
          <w:bCs/>
        </w:rPr>
        <w:t>Components:</w:t>
      </w:r>
      <w:r w:rsidRPr="001D5425">
        <w:t xml:space="preserve"> </w:t>
      </w:r>
    </w:p>
    <w:p w14:paraId="013ADA68" w14:textId="77777777" w:rsidR="00A45372" w:rsidRDefault="00A45372" w:rsidP="00A45372">
      <w:pPr>
        <w:numPr>
          <w:ilvl w:val="2"/>
          <w:numId w:val="3"/>
        </w:numPr>
      </w:pPr>
      <w:r>
        <w:t>Global load balancers (e.g., AWS Global Accelerator).</w:t>
      </w:r>
    </w:p>
    <w:p w14:paraId="49D97FE7" w14:textId="77777777" w:rsidR="00A45372" w:rsidRDefault="00A45372" w:rsidP="00A45372">
      <w:pPr>
        <w:numPr>
          <w:ilvl w:val="2"/>
          <w:numId w:val="3"/>
        </w:numPr>
      </w:pPr>
      <w:r>
        <w:t>Real-time replication tools like Amazon Aurora Global Database.</w:t>
      </w:r>
    </w:p>
    <w:p w14:paraId="380C9CA2" w14:textId="77777777" w:rsidR="00A45372" w:rsidRPr="001D5425" w:rsidRDefault="00A45372" w:rsidP="00A45372">
      <w:pPr>
        <w:numPr>
          <w:ilvl w:val="2"/>
          <w:numId w:val="3"/>
        </w:numPr>
      </w:pPr>
      <w:r>
        <w:t>Continuous monitoring and automated failback processes.</w:t>
      </w:r>
    </w:p>
    <w:p w14:paraId="56E1BE61" w14:textId="77777777" w:rsidR="00A45372" w:rsidRDefault="00A45372" w:rsidP="00A45372">
      <w:pPr>
        <w:numPr>
          <w:ilvl w:val="1"/>
          <w:numId w:val="3"/>
        </w:numPr>
      </w:pPr>
      <w:r w:rsidRPr="001D5425">
        <w:rPr>
          <w:b/>
          <w:bCs/>
        </w:rPr>
        <w:t>Failover Mechanism:</w:t>
      </w:r>
      <w:r w:rsidRPr="001D5425">
        <w:t xml:space="preserve"> Automated failover mechanism to seamlessly switch traffic to the secondary site in case of an outage at the primary site.</w:t>
      </w:r>
    </w:p>
    <w:p w14:paraId="2D516CAD" w14:textId="77777777" w:rsidR="00A45372" w:rsidRDefault="00A45372" w:rsidP="00A45372">
      <w:pPr>
        <w:sectPr w:rsidR="00A45372" w:rsidSect="00A4537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7C2EFBB" w14:textId="77777777" w:rsidR="00A45372" w:rsidRDefault="00A45372" w:rsidP="00A45372"/>
    <w:p w14:paraId="7C73AC53" w14:textId="77777777" w:rsidR="00A45372" w:rsidRDefault="00A45372" w:rsidP="00A45372">
      <w:r>
        <w:rPr>
          <w:noProof/>
        </w:rPr>
        <w:drawing>
          <wp:inline distT="0" distB="0" distL="0" distR="0" wp14:anchorId="7041CE3E" wp14:editId="20D307E7">
            <wp:extent cx="9334500" cy="5334000"/>
            <wp:effectExtent l="0" t="0" r="0" b="0"/>
            <wp:docPr id="752692467" name="Picture 5" descr="A diagram of data sto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92467" name="Picture 5" descr="A diagram of data stor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6556" cy="5340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A6F2B8" w14:textId="77777777" w:rsidR="00A45372" w:rsidRDefault="00A45372" w:rsidP="00A45372">
      <w:pPr>
        <w:sectPr w:rsidR="00A45372" w:rsidSect="00A45372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2BBA85BD" w14:textId="77777777" w:rsidR="00A45372" w:rsidRPr="00617A6A" w:rsidRDefault="00A45372" w:rsidP="00A45372">
      <w:pPr>
        <w:rPr>
          <w:b/>
          <w:bCs/>
        </w:rPr>
      </w:pPr>
      <w:r w:rsidRPr="00617A6A">
        <w:rPr>
          <w:b/>
          <w:bCs/>
        </w:rPr>
        <w:t>References</w:t>
      </w:r>
    </w:p>
    <w:p w14:paraId="2DA9781B" w14:textId="77777777" w:rsidR="00A45372" w:rsidRDefault="00A45372" w:rsidP="00A45372">
      <w:r>
        <w:t>Morrow, T., Prakash, S., and Johnson, L. (2021) Modern Cloud Computing: Concepts and Practices. Oxford University Press.</w:t>
      </w:r>
    </w:p>
    <w:p w14:paraId="5971727B" w14:textId="77777777" w:rsidR="00A45372" w:rsidRDefault="00A45372" w:rsidP="00A45372">
      <w:r>
        <w:t xml:space="preserve">Opara-Martins, J., </w:t>
      </w:r>
      <w:proofErr w:type="spellStart"/>
      <w:r>
        <w:t>Sahandi</w:t>
      </w:r>
      <w:proofErr w:type="spellEnd"/>
      <w:r>
        <w:t>, R., and Tian, F. (2014) ‘Critical Analysis of Vendor Lock-in and Its Impact on Cloud Computing Migration: A Business Perspective,’ Journal of Cloud Computing Advances, 3(1), pp. 35-42.</w:t>
      </w:r>
    </w:p>
    <w:p w14:paraId="67BA7D07" w14:textId="77777777" w:rsidR="00A45372" w:rsidRDefault="00A45372"/>
    <w:sectPr w:rsidR="00A453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83826"/>
    <w:multiLevelType w:val="multilevel"/>
    <w:tmpl w:val="9A5C2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0D216D"/>
    <w:multiLevelType w:val="multilevel"/>
    <w:tmpl w:val="20001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5076B0"/>
    <w:multiLevelType w:val="multilevel"/>
    <w:tmpl w:val="3EDCF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C56887"/>
    <w:multiLevelType w:val="multilevel"/>
    <w:tmpl w:val="879A8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607793"/>
    <w:multiLevelType w:val="multilevel"/>
    <w:tmpl w:val="0992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7777B1"/>
    <w:multiLevelType w:val="multilevel"/>
    <w:tmpl w:val="3F40E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365B6F"/>
    <w:multiLevelType w:val="multilevel"/>
    <w:tmpl w:val="FBF44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0142953">
    <w:abstractNumId w:val="3"/>
  </w:num>
  <w:num w:numId="2" w16cid:durableId="100027896">
    <w:abstractNumId w:val="1"/>
  </w:num>
  <w:num w:numId="3" w16cid:durableId="1666275665">
    <w:abstractNumId w:val="5"/>
  </w:num>
  <w:num w:numId="4" w16cid:durableId="1698307909">
    <w:abstractNumId w:val="6"/>
  </w:num>
  <w:num w:numId="5" w16cid:durableId="1601915185">
    <w:abstractNumId w:val="4"/>
  </w:num>
  <w:num w:numId="6" w16cid:durableId="160242634">
    <w:abstractNumId w:val="0"/>
  </w:num>
  <w:num w:numId="7" w16cid:durableId="5868835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372"/>
    <w:rsid w:val="004714CC"/>
    <w:rsid w:val="00A45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44FBB"/>
  <w15:chartTrackingRefBased/>
  <w15:docId w15:val="{12675798-D65E-42D0-9ACB-8A16B4E7D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5372"/>
  </w:style>
  <w:style w:type="paragraph" w:styleId="Heading1">
    <w:name w:val="heading 1"/>
    <w:basedOn w:val="Normal"/>
    <w:next w:val="Normal"/>
    <w:link w:val="Heading1Char"/>
    <w:uiPriority w:val="9"/>
    <w:qFormat/>
    <w:rsid w:val="00A45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5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53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5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53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5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5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5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5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3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53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53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53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53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5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5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5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5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5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5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5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5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5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5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5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53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53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53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53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857</Words>
  <Characters>4889</Characters>
  <Application>Microsoft Office Word</Application>
  <DocSecurity>0</DocSecurity>
  <Lines>40</Lines>
  <Paragraphs>11</Paragraphs>
  <ScaleCrop>false</ScaleCrop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Fullah</dc:creator>
  <cp:keywords/>
  <dc:description/>
  <cp:lastModifiedBy>John Fullah</cp:lastModifiedBy>
  <cp:revision>1</cp:revision>
  <dcterms:created xsi:type="dcterms:W3CDTF">2025-01-26T22:04:00Z</dcterms:created>
  <dcterms:modified xsi:type="dcterms:W3CDTF">2025-01-26T22:05:00Z</dcterms:modified>
</cp:coreProperties>
</file>