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44"/>
          <w:szCs w:val="44"/>
        </w:rPr>
        <w:t xml:space="preserve">AUDIT SHIELD DASHBOARD</w:t>
      </w:r>
    </w:p>
    <w:p>
      <w:pPr>
        <w:spacing w:after="100"/>
        <w:jc w:val="center"/>
      </w:pPr>
      <w:r>
        <w:rPr>
          <w:rFonts w:ascii="Arial" w:cs="Arial" w:eastAsia="Arial" w:hAnsi="Arial"/>
          <w:color w:val="2E75B6"/>
          <w:sz w:val="28"/>
          <w:szCs w:val="28"/>
        </w:rPr>
        <w:t xml:space="preserve">Return Shield Platform</w:t>
      </w:r>
    </w:p>
    <w:p>
      <w:pPr>
        <w:pBdr>
          <w:bottom w:val="single" w:color="E0E0E0" w:sz="4" w:space="6"/>
        </w:pBdr>
        <w:spacing w:before="120" w:after="120"/>
      </w:pPr>
    </w:p>
    <w:p>
      <w:pPr>
        <w:spacing w:before="400" w:after="100"/>
        <w:jc w:val="center"/>
      </w:pPr>
      <w:r>
        <w:rPr>
          <w:rFonts w:ascii="Arial" w:cs="Arial" w:eastAsia="Arial" w:hAnsi="Arial"/>
          <w:b/>
          <w:bCs/>
          <w:color w:val="1B3A5C"/>
          <w:sz w:val="28"/>
          <w:szCs w:val="28"/>
        </w:rPr>
        <w:t xml:space="preserve">Comprehensive Security Audit,</w:t>
      </w:r>
    </w:p>
    <w:p>
      <w:pPr>
        <w:spacing w:after="100"/>
        <w:jc w:val="center"/>
      </w:pPr>
      <w:r>
        <w:rPr>
          <w:rFonts w:ascii="Arial" w:cs="Arial" w:eastAsia="Arial" w:hAnsi="Arial"/>
          <w:b/>
          <w:bCs/>
          <w:color w:val="1B3A5C"/>
          <w:sz w:val="28"/>
          <w:szCs w:val="28"/>
        </w:rPr>
        <w:t xml:space="preserve">Functionality Inventory &amp;</w:t>
      </w:r>
    </w:p>
    <w:p>
      <w:pPr>
        <w:spacing w:after="400"/>
        <w:jc w:val="center"/>
      </w:pPr>
      <w:r>
        <w:rPr>
          <w:rFonts w:ascii="Arial" w:cs="Arial" w:eastAsia="Arial" w:hAnsi="Arial"/>
          <w:b/>
          <w:bCs/>
          <w:color w:val="1B3A5C"/>
          <w:sz w:val="28"/>
          <w:szCs w:val="28"/>
        </w:rPr>
        <w:t xml:space="preserve">Improvement Recommendations</w:t>
      </w:r>
    </w:p>
    <w:p>
      <w:pPr>
        <w:pBdr>
          <w:bottom w:val="single" w:color="E0E0E0" w:sz="4" w:space="6"/>
        </w:pBdr>
        <w:spacing w:before="120" w:after="120"/>
      </w:pPr>
    </w:p>
    <w:p>
      <w:pPr>
        <w:spacing w:before="600" w:after="100"/>
        <w:jc w:val="center"/>
      </w:pPr>
      <w:r>
        <w:rPr>
          <w:rFonts w:ascii="Arial" w:cs="Arial" w:eastAsia="Arial" w:hAnsi="Arial"/>
          <w:color w:val="1A1A1A"/>
          <w:sz w:val="22"/>
          <w:szCs w:val="22"/>
        </w:rPr>
        <w:t xml:space="preserve">February 14, 2026</w:t>
      </w:r>
    </w:p>
    <w:p>
      <w:pPr>
        <w:spacing w:after="100"/>
        <w:jc w:val="center"/>
      </w:pPr>
      <w:r>
        <w:rPr>
          <w:rFonts w:ascii="Arial" w:cs="Arial" w:eastAsia="Arial" w:hAnsi="Arial"/>
          <w:color w:val="1A1A1A"/>
          <w:sz w:val="22"/>
          <w:szCs w:val="22"/>
        </w:rPr>
        <w:t xml:space="preserve">Prepared for: John Giannone</w:t>
      </w:r>
    </w:p>
    <w:p>
      <w:pPr>
        <w:spacing w:after="100"/>
        <w:jc w:val="center"/>
      </w:pPr>
      <w:r>
        <w:rPr>
          <w:rFonts w:ascii="Arial" w:cs="Arial" w:eastAsia="Arial" w:hAnsi="Arial"/>
          <w:color w:val="1A1A1A"/>
          <w:sz w:val="22"/>
          <w:szCs w:val="22"/>
        </w:rPr>
        <w:t xml:space="preserve">Classification: </w:t>
      </w:r>
      <w:r>
        <w:rPr>
          <w:rFonts w:ascii="Arial" w:cs="Arial" w:eastAsia="Arial" w:hAnsi="Arial"/>
          <w:b/>
          <w:bCs/>
          <w:color w:val="CC0000"/>
          <w:sz w:val="22"/>
          <w:szCs w:val="22"/>
        </w:rPr>
        <w:t xml:space="preserve">CONFIDENTIAL</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3A5C"/>
          <w:sz w:val="32"/>
          <w:szCs w:val="32"/>
        </w:rPr>
        <w:t xml:space="preserve">Executive Summary</w:t>
      </w:r>
    </w:p>
    <w:p>
      <w:pPr>
        <w:spacing w:after="120"/>
      </w:pPr>
      <w:r>
        <w:rPr>
          <w:rFonts w:ascii="Arial" w:cs="Arial" w:eastAsia="Arial" w:hAnsi="Arial"/>
          <w:color w:val="1A1A1A"/>
          <w:sz w:val="20"/>
          <w:szCs w:val="20"/>
        </w:rPr>
        <w:t xml:space="preserve">Audit Shield Dashboard (Return Shield) is a full-stack tax audit defense platform built with React 18, TypeScript, Supabase, and Stripe. It serves individual taxpayers, enrolled agents, tax preparation firms, and affiliates through AI-powered audit risk assessment, IRS notice analysis, case management, and document generation.</w:t>
      </w:r>
    </w:p>
    <w:p>
      <w:pPr>
        <w:spacing w:after="120"/>
      </w:pPr>
      <w:r>
        <w:rPr>
          <w:rFonts w:ascii="Arial" w:cs="Arial" w:eastAsia="Arial" w:hAnsi="Arial"/>
          <w:color w:val="1A1A1A"/>
          <w:sz w:val="20"/>
          <w:szCs w:val="20"/>
        </w:rPr>
        <w:t xml:space="preserve">This audit identified 18 security vulnerabilities across the application, including 2 critical findings that require immediate remediation, 8 high-severity issues, and 8 medium-severity concerns. The most urgent findings relate to the Stripe webhook signature bypass (allowing forged payment events) and inadequate CORS configuration enabling cross-origin attacks against all API endpoints.</w:t>
      </w:r>
    </w:p>
    <w:p>
      <w:pPr>
        <w:spacing w:after="120"/>
      </w:pPr>
      <w:r>
        <w:rPr>
          <w:rFonts w:ascii="Arial" w:cs="Arial" w:eastAsia="Arial" w:hAnsi="Arial"/>
          <w:color w:val="1A1A1A"/>
          <w:sz w:val="20"/>
          <w:szCs w:val="20"/>
        </w:rPr>
        <w:t xml:space="preserve">In addition to the security findings, this report catalogs the platform’s 60+ features across 10 functional categories and proposes 46 improvement recommendations spanning security hardening, architecture, new features, code quality, compliance, and user experience.</w:t>
      </w:r>
    </w:p>
    <w:p>
      <w:pPr>
        <w:pStyle w:val="Heading1"/>
        <w:spacing w:before="360" w:after="200"/>
      </w:pPr>
      <w:r>
        <w:rPr>
          <w:rFonts w:ascii="Arial" w:cs="Arial" w:eastAsia="Arial" w:hAnsi="Arial"/>
          <w:b/>
          <w:bCs/>
          <w:color w:val="1B3A5C"/>
          <w:sz w:val="32"/>
          <w:szCs w:val="32"/>
        </w:rPr>
        <w:t xml:space="preserve">Technology Stack Overview</w:t>
      </w:r>
    </w:p>
    <w:p>
      <w:pPr>
        <w:spacing w:after="120"/>
      </w:pPr>
      <w:r>
        <w:rPr>
          <w:rFonts w:ascii="Arial" w:cs="Arial" w:eastAsia="Arial" w:hAnsi="Arial"/>
          <w:color w:val="1A1A1A"/>
          <w:sz w:val="20"/>
          <w:szCs w:val="20"/>
        </w:rPr>
        <w:t xml:space="preserve">The platform uses a modern JavaScript stack with Supabase as the backend-as-a-service provider, handling authentication, database (PostgreSQL), storage, and serverless edge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Layer</w:t>
            </w:r>
          </w:p>
        </w:tc>
        <w:tc>
          <w:tcPr>
            <w:tcW w:type="dxa" w:w="656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Technologies</w:t>
            </w:r>
          </w:p>
        </w:tc>
      </w:tr>
      <w:tr>
        <w:tc>
          <w:tcPr>
            <w:tcW w:type="dxa" w:w="28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Frontend</w:t>
            </w:r>
          </w:p>
        </w:tc>
        <w:tc>
          <w:tcPr>
            <w:tcW w:type="dxa" w:w="65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18"/>
                <w:szCs w:val="18"/>
              </w:rPr>
              <w:t xml:space="preserve">React 18.3, TypeScript 5.8, Vite 5.4, Tailwind CSS 3.4, shadcn/ui, TanStack Query 5</w:t>
            </w:r>
          </w:p>
        </w:tc>
      </w:tr>
      <w:tr>
        <w:tc>
          <w:tcPr>
            <w:tcW w:type="dxa" w:w="28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Backend</w:t>
            </w:r>
          </w:p>
        </w:tc>
        <w:tc>
          <w:tcPr>
            <w:tcW w:type="dxa" w:w="65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18"/>
                <w:szCs w:val="18"/>
              </w:rPr>
              <w:t xml:space="preserve">Supabase (PostgreSQL, Edge Functions, Auth, Storage, RLS)</w:t>
            </w:r>
          </w:p>
        </w:tc>
      </w:tr>
      <w:tr>
        <w:tc>
          <w:tcPr>
            <w:tcW w:type="dxa" w:w="28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Payments</w:t>
            </w:r>
          </w:p>
        </w:tc>
        <w:tc>
          <w:tcPr>
            <w:tcW w:type="dxa" w:w="65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18"/>
                <w:szCs w:val="18"/>
              </w:rPr>
              <w:t xml:space="preserve">Stripe (Checkout Sessions, Webhooks, Customer Portal)</w:t>
            </w:r>
          </w:p>
        </w:tc>
      </w:tr>
      <w:tr>
        <w:tc>
          <w:tcPr>
            <w:tcW w:type="dxa" w:w="28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AI/ML</w:t>
            </w:r>
          </w:p>
        </w:tc>
        <w:tc>
          <w:tcPr>
            <w:tcW w:type="dxa" w:w="65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18"/>
                <w:szCs w:val="18"/>
              </w:rPr>
              <w:t xml:space="preserve">Lovable AI Gateway / OpenRouter (Google Gemini 2.5 Flash)</w:t>
            </w:r>
          </w:p>
        </w:tc>
      </w:tr>
      <w:tr>
        <w:tc>
          <w:tcPr>
            <w:tcW w:type="dxa" w:w="28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Email</w:t>
            </w:r>
          </w:p>
        </w:tc>
        <w:tc>
          <w:tcPr>
            <w:tcW w:type="dxa" w:w="65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18"/>
                <w:szCs w:val="18"/>
              </w:rPr>
              <w:t xml:space="preserve">Resend API (transactional emails, notifications)</w:t>
            </w:r>
          </w:p>
        </w:tc>
      </w:tr>
      <w:tr>
        <w:tc>
          <w:tcPr>
            <w:tcW w:type="dxa" w:w="28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PDF Gen</w:t>
            </w:r>
          </w:p>
        </w:tc>
        <w:tc>
          <w:tcPr>
            <w:tcW w:type="dxa" w:w="65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18"/>
                <w:szCs w:val="18"/>
              </w:rPr>
              <w:t xml:space="preserve">jsPDF 3.0 (client-side PDF generation)</w:t>
            </w:r>
          </w:p>
        </w:tc>
      </w:tr>
      <w:tr>
        <w:tc>
          <w:tcPr>
            <w:tcW w:type="dxa" w:w="28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i18n</w:t>
            </w:r>
          </w:p>
        </w:tc>
        <w:tc>
          <w:tcPr>
            <w:tcW w:type="dxa" w:w="65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18"/>
                <w:szCs w:val="18"/>
              </w:rPr>
              <w:t xml:space="preserve">i18next with English and Spanish locale support</w:t>
            </w:r>
          </w:p>
        </w:tc>
      </w:tr>
      <w:tr>
        <w:tc>
          <w:tcPr>
            <w:tcW w:type="dxa" w:w="28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Testing</w:t>
            </w:r>
          </w:p>
        </w:tc>
        <w:tc>
          <w:tcPr>
            <w:tcW w:type="dxa" w:w="65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18"/>
                <w:szCs w:val="18"/>
              </w:rPr>
              <w:t xml:space="preserve">Vitest 3.2, React Testing Library 14.3, jsdom</w:t>
            </w:r>
          </w:p>
        </w:tc>
      </w:tr>
    </w:tbl>
    <w:p>
      <w:r>
        <w:br w:type="page"/>
      </w:r>
    </w:p>
    <w:p>
      <w:pPr>
        <w:pStyle w:val="Heading1"/>
        <w:spacing w:before="360" w:after="200"/>
      </w:pPr>
      <w:r>
        <w:rPr>
          <w:rFonts w:ascii="Arial" w:cs="Arial" w:eastAsia="Arial" w:hAnsi="Arial"/>
          <w:b/>
          <w:bCs/>
          <w:color w:val="1B3A5C"/>
          <w:sz w:val="32"/>
          <w:szCs w:val="32"/>
        </w:rPr>
        <w:t xml:space="preserve">Part 1: Security Audit</w:t>
      </w:r>
    </w:p>
    <w:p>
      <w:pPr>
        <w:spacing w:after="120"/>
      </w:pPr>
      <w:r>
        <w:rPr>
          <w:rFonts w:ascii="Arial" w:cs="Arial" w:eastAsia="Arial" w:hAnsi="Arial"/>
          <w:color w:val="1A1A1A"/>
          <w:sz w:val="20"/>
          <w:szCs w:val="20"/>
        </w:rPr>
        <w:t xml:space="preserve">The following findings are organized by severity. Each finding includes the affected file, a description of the vulnerability, and the potential business impact.</w:t>
      </w:r>
    </w:p>
    <w:p>
      <w:pPr>
        <w:pStyle w:val="Heading2"/>
        <w:spacing w:before="280" w:after="160"/>
      </w:pPr>
      <w:r>
        <w:rPr>
          <w:rFonts w:ascii="Arial" w:cs="Arial" w:eastAsia="Arial" w:hAnsi="Arial"/>
          <w:b/>
          <w:bCs/>
          <w:color w:val="2E75B6"/>
          <w:sz w:val="26"/>
          <w:szCs w:val="26"/>
        </w:rPr>
        <w:t xml:space="preserve">Vulnerability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560"/>
      </w:tblGrid>
      <w:tr>
        <w:tc>
          <w:tcPr>
            <w:tcW w:type="dxa" w:w="14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Severity</w:t>
            </w:r>
          </w:p>
        </w:tc>
        <w:tc>
          <w:tcPr>
            <w:tcW w:type="dxa" w:w="140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Count</w:t>
            </w:r>
          </w:p>
        </w:tc>
        <w:tc>
          <w:tcPr>
            <w:tcW w:type="dxa" w:w="6560"/>
            <w:tcBorders>
              <w:top w:val="single" w:color="E0E0E0" w:sz="1"/>
              <w:left w:val="single" w:color="E0E0E0" w:sz="1"/>
              <w:bottom w:val="single" w:color="E0E0E0" w:sz="1"/>
              <w:right w:val="single" w:color="E0E0E0"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Impact Areas</w:t>
            </w:r>
          </w:p>
        </w:tc>
      </w:tr>
      <w:tr>
        <w:tc>
          <w:tcPr>
            <w:tcW w:type="dxa" w:w="1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CC0000"/>
                <w:sz w:val="18"/>
                <w:szCs w:val="18"/>
              </w:rPr>
              <w:t xml:space="preserve">CRITICAL</w:t>
            </w:r>
          </w:p>
        </w:tc>
        <w:tc>
          <w:tcPr>
            <w:tcW w:type="dxa" w:w="1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1A1A"/>
                <w:sz w:val="18"/>
                <w:szCs w:val="18"/>
              </w:rPr>
              <w:t xml:space="preserve">2</w:t>
            </w:r>
          </w:p>
        </w:tc>
        <w:tc>
          <w:tcPr>
            <w:tcW w:type="dxa" w:w="65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18"/>
                <w:szCs w:val="18"/>
              </w:rPr>
              <w:t xml:space="preserve">Payment fraud, free subscription abuse, credential exposure</w:t>
            </w:r>
          </w:p>
        </w:tc>
      </w:tr>
      <w:tr>
        <w:tc>
          <w:tcPr>
            <w:tcW w:type="dxa" w:w="1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E06000"/>
                <w:sz w:val="18"/>
                <w:szCs w:val="18"/>
              </w:rPr>
              <w:t xml:space="preserve">HIGH</w:t>
            </w:r>
          </w:p>
        </w:tc>
        <w:tc>
          <w:tcPr>
            <w:tcW w:type="dxa" w:w="1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1A1A"/>
                <w:sz w:val="18"/>
                <w:szCs w:val="18"/>
              </w:rPr>
              <w:t xml:space="preserve">8</w:t>
            </w:r>
          </w:p>
        </w:tc>
        <w:tc>
          <w:tcPr>
            <w:tcW w:type="dxa" w:w="65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18"/>
                <w:szCs w:val="18"/>
              </w:rPr>
              <w:t xml:space="preserve">CSRF, DoS, cost exhaustion, unauthorized access, data exfiltration, prompt injection</w:t>
            </w:r>
          </w:p>
        </w:tc>
      </w:tr>
      <w:tr>
        <w:tc>
          <w:tcPr>
            <w:tcW w:type="dxa" w:w="1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CC9900"/>
                <w:sz w:val="18"/>
                <w:szCs w:val="18"/>
              </w:rPr>
              <w:t xml:space="preserve">MEDIUM</w:t>
            </w:r>
          </w:p>
        </w:tc>
        <w:tc>
          <w:tcPr>
            <w:tcW w:type="dxa" w:w="1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1A1A"/>
                <w:sz w:val="18"/>
                <w:szCs w:val="18"/>
              </w:rPr>
              <w:t xml:space="preserve">8</w:t>
            </w:r>
          </w:p>
        </w:tc>
        <w:tc>
          <w:tcPr>
            <w:tcW w:type="dxa" w:w="65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18"/>
                <w:szCs w:val="18"/>
              </w:rPr>
              <w:t xml:space="preserve">Account takeover, session hijacking, compliance violations, fraud</w:t>
            </w:r>
          </w:p>
        </w:tc>
      </w:tr>
    </w:tbl>
    <w:p>
      <w:pPr>
        <w:pStyle w:val="Heading2"/>
        <w:spacing w:before="280" w:after="160"/>
      </w:pPr>
      <w:r>
        <w:rPr>
          <w:rFonts w:ascii="Arial" w:cs="Arial" w:eastAsia="Arial" w:hAnsi="Arial"/>
          <w:b/>
          <w:bCs/>
          <w:color w:val="2E75B6"/>
          <w:sz w:val="26"/>
          <w:szCs w:val="26"/>
        </w:rPr>
        <w:t xml:space="preserve">Detailed Findings</w:t>
      </w:r>
    </w:p>
    <w:p>
      <w:pPr>
        <w:pStyle w:val="Heading3"/>
        <w:spacing w:before="200" w:after="120"/>
      </w:pPr>
      <w:r>
        <w:rPr>
          <w:rFonts w:ascii="Arial" w:cs="Arial" w:eastAsia="Arial" w:hAnsi="Arial"/>
          <w:b/>
          <w:bCs/>
          <w:color w:val="1B3A5C"/>
          <w:sz w:val="22"/>
          <w:szCs w:val="22"/>
        </w:rPr>
        <w:t xml:space="preserve">1. Stripe Webhook Signature Bypass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Severity</w:t>
            </w:r>
          </w:p>
        </w:tc>
        <w:tc>
          <w:tcPr>
            <w:tcW w:type="dxa" w:w="7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CC0000"/>
                <w:sz w:val="18"/>
                <w:szCs w:val="18"/>
              </w:rPr>
              <w:t xml:space="preserve">CRITICAL</w:t>
            </w:r>
          </w:p>
        </w:tc>
      </w:tr>
      <w:tr>
        <w:tc>
          <w:tcPr>
            <w:tcW w:type="dxa" w:w="20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Location</w:t>
            </w:r>
          </w:p>
        </w:tc>
        <w:tc>
          <w:tcPr>
            <w:tcW w:type="dxa" w:w="7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18"/>
                <w:szCs w:val="18"/>
              </w:rPr>
              <w:t xml:space="preserve">stripe-webhook/index.ts</w:t>
            </w:r>
          </w:p>
        </w:tc>
      </w:tr>
    </w:tbl>
    <w:p>
      <w:pPr>
        <w:spacing w:after="120"/>
      </w:pPr>
      <w:r>
        <w:rPr>
          <w:rFonts w:ascii="Arial" w:cs="Arial" w:eastAsia="Arial" w:hAnsi="Arial"/>
          <w:color w:val="1A1A1A"/>
          <w:sz w:val="20"/>
          <w:szCs w:val="20"/>
        </w:rPr>
        <w:t xml:space="preserve">If STRIPE_WEBHOOK_SECRET is unset, the webhook falls back to parsing unverified JSON. Any attacker can forge checkout.session.completed events, granting free subscriptions or manipulating affiliate earnings.</w:t>
      </w:r>
    </w:p>
    <w:p>
      <w:pPr>
        <w:pBdr>
          <w:bottom w:val="single" w:color="E0E0E0" w:sz="4" w:space="6"/>
        </w:pBdr>
        <w:spacing w:before="120" w:after="120"/>
      </w:pPr>
    </w:p>
    <w:p>
      <w:pPr>
        <w:pStyle w:val="Heading3"/>
        <w:spacing w:before="200" w:after="120"/>
      </w:pPr>
      <w:r>
        <w:rPr>
          <w:rFonts w:ascii="Arial" w:cs="Arial" w:eastAsia="Arial" w:hAnsi="Arial"/>
          <w:b/>
          <w:bCs/>
          <w:color w:val="1B3A5C"/>
          <w:sz w:val="22"/>
          <w:szCs w:val="22"/>
        </w:rPr>
        <w:t xml:space="preserve">2. Exposed Supabase Credentials in Version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Severity</w:t>
            </w:r>
          </w:p>
        </w:tc>
        <w:tc>
          <w:tcPr>
            <w:tcW w:type="dxa" w:w="7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CC0000"/>
                <w:sz w:val="18"/>
                <w:szCs w:val="18"/>
              </w:rPr>
              <w:t xml:space="preserve">CRITICAL</w:t>
            </w:r>
          </w:p>
        </w:tc>
      </w:tr>
      <w:tr>
        <w:tc>
          <w:tcPr>
            <w:tcW w:type="dxa" w:w="20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Location</w:t>
            </w:r>
          </w:p>
        </w:tc>
        <w:tc>
          <w:tcPr>
            <w:tcW w:type="dxa" w:w="7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18"/>
                <w:szCs w:val="18"/>
              </w:rPr>
              <w:t xml:space="preserve">.env</w:t>
            </w:r>
          </w:p>
        </w:tc>
      </w:tr>
    </w:tbl>
    <w:p>
      <w:pPr>
        <w:spacing w:after="120"/>
      </w:pPr>
      <w:r>
        <w:rPr>
          <w:rFonts w:ascii="Arial" w:cs="Arial" w:eastAsia="Arial" w:hAnsi="Arial"/>
          <w:color w:val="1A1A1A"/>
          <w:sz w:val="20"/>
          <w:szCs w:val="20"/>
        </w:rPr>
        <w:t xml:space="preserve">The .env file containing the Supabase project ID, anon key, and URL is committed to the repository. While these are publishable keys, having them in source control exposes the project to targeted API abuse.</w:t>
      </w:r>
    </w:p>
    <w:p>
      <w:pPr>
        <w:pBdr>
          <w:bottom w:val="single" w:color="E0E0E0" w:sz="4" w:space="6"/>
        </w:pBdr>
        <w:spacing w:before="120" w:after="120"/>
      </w:pPr>
    </w:p>
    <w:p>
      <w:pPr>
        <w:pStyle w:val="Heading3"/>
        <w:spacing w:before="200" w:after="120"/>
      </w:pPr>
      <w:r>
        <w:rPr>
          <w:rFonts w:ascii="Arial" w:cs="Arial" w:eastAsia="Arial" w:hAnsi="Arial"/>
          <w:b/>
          <w:bCs/>
          <w:color w:val="1B3A5C"/>
          <w:sz w:val="22"/>
          <w:szCs w:val="22"/>
        </w:rPr>
        <w:t xml:space="preserve">3. CORS Wildcard on All Edge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Severity</w:t>
            </w:r>
          </w:p>
        </w:tc>
        <w:tc>
          <w:tcPr>
            <w:tcW w:type="dxa" w:w="7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E06000"/>
                <w:sz w:val="18"/>
                <w:szCs w:val="18"/>
              </w:rPr>
              <w:t xml:space="preserve">HIGH</w:t>
            </w:r>
          </w:p>
        </w:tc>
      </w:tr>
      <w:tr>
        <w:tc>
          <w:tcPr>
            <w:tcW w:type="dxa" w:w="20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Location</w:t>
            </w:r>
          </w:p>
        </w:tc>
        <w:tc>
          <w:tcPr>
            <w:tcW w:type="dxa" w:w="7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18"/>
                <w:szCs w:val="18"/>
              </w:rPr>
              <w:t xml:space="preserve">All supabase/functions/</w:t>
            </w:r>
          </w:p>
        </w:tc>
      </w:tr>
    </w:tbl>
    <w:p>
      <w:pPr>
        <w:spacing w:after="120"/>
      </w:pPr>
      <w:r>
        <w:rPr>
          <w:rFonts w:ascii="Arial" w:cs="Arial" w:eastAsia="Arial" w:hAnsi="Arial"/>
          <w:color w:val="1A1A1A"/>
          <w:sz w:val="20"/>
          <w:szCs w:val="20"/>
        </w:rPr>
        <w:t xml:space="preserve">Every edge function sets Access-Control-Allow-Origin: * allowing any website to invoke your API on behalf of authenticated users. This enables CSRF-style attacks against logged-in users.</w:t>
      </w:r>
    </w:p>
    <w:p>
      <w:pPr>
        <w:pBdr>
          <w:bottom w:val="single" w:color="E0E0E0" w:sz="4" w:space="6"/>
        </w:pBdr>
        <w:spacing w:before="120" w:after="120"/>
      </w:pPr>
    </w:p>
    <w:p>
      <w:pPr>
        <w:pStyle w:val="Heading3"/>
        <w:spacing w:before="200" w:after="120"/>
      </w:pPr>
      <w:r>
        <w:rPr>
          <w:rFonts w:ascii="Arial" w:cs="Arial" w:eastAsia="Arial" w:hAnsi="Arial"/>
          <w:b/>
          <w:bCs/>
          <w:color w:val="1B3A5C"/>
          <w:sz w:val="22"/>
          <w:szCs w:val="22"/>
        </w:rPr>
        <w:t xml:space="preserve">4. No Rate Limiting on Any API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Severity</w:t>
            </w:r>
          </w:p>
        </w:tc>
        <w:tc>
          <w:tcPr>
            <w:tcW w:type="dxa" w:w="7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E06000"/>
                <w:sz w:val="18"/>
                <w:szCs w:val="18"/>
              </w:rPr>
              <w:t xml:space="preserve">HIGH</w:t>
            </w:r>
          </w:p>
        </w:tc>
      </w:tr>
      <w:tr>
        <w:tc>
          <w:tcPr>
            <w:tcW w:type="dxa" w:w="20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Location</w:t>
            </w:r>
          </w:p>
        </w:tc>
        <w:tc>
          <w:tcPr>
            <w:tcW w:type="dxa" w:w="7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18"/>
                <w:szCs w:val="18"/>
              </w:rPr>
              <w:t xml:space="preserve">All supabase/functions/</w:t>
            </w:r>
          </w:p>
        </w:tc>
      </w:tr>
    </w:tbl>
    <w:p>
      <w:pPr>
        <w:spacing w:after="120"/>
      </w:pPr>
      <w:r>
        <w:rPr>
          <w:rFonts w:ascii="Arial" w:cs="Arial" w:eastAsia="Arial" w:hAnsi="Arial"/>
          <w:color w:val="1A1A1A"/>
          <w:sz w:val="20"/>
          <w:szCs w:val="20"/>
        </w:rPr>
        <w:t xml:space="preserve">No edge function implements rate limiting. An attacker can flood AI analysis endpoints causing massive API cost overruns, brute-force activation codes, or exhaust email sending quotas.</w:t>
      </w:r>
    </w:p>
    <w:p>
      <w:pPr>
        <w:pBdr>
          <w:bottom w:val="single" w:color="E0E0E0" w:sz="4" w:space="6"/>
        </w:pBdr>
        <w:spacing w:before="120" w:after="120"/>
      </w:pPr>
    </w:p>
    <w:p>
      <w:pPr>
        <w:pStyle w:val="Heading3"/>
        <w:spacing w:before="200" w:after="120"/>
      </w:pPr>
      <w:r>
        <w:rPr>
          <w:rFonts w:ascii="Arial" w:cs="Arial" w:eastAsia="Arial" w:hAnsi="Arial"/>
          <w:b/>
          <w:bCs/>
          <w:color w:val="1B3A5C"/>
          <w:sz w:val="22"/>
          <w:szCs w:val="22"/>
        </w:rPr>
        <w:t xml:space="preserve">5. Unvalidated File Uploads (No Size or Type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Severity</w:t>
            </w:r>
          </w:p>
        </w:tc>
        <w:tc>
          <w:tcPr>
            <w:tcW w:type="dxa" w:w="7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E06000"/>
                <w:sz w:val="18"/>
                <w:szCs w:val="18"/>
              </w:rPr>
              <w:t xml:space="preserve">HIGH</w:t>
            </w:r>
          </w:p>
        </w:tc>
      </w:tr>
      <w:tr>
        <w:tc>
          <w:tcPr>
            <w:tcW w:type="dxa" w:w="20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Location</w:t>
            </w:r>
          </w:p>
        </w:tc>
        <w:tc>
          <w:tcPr>
            <w:tcW w:type="dxa" w:w="7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18"/>
                <w:szCs w:val="18"/>
              </w:rPr>
              <w:t xml:space="preserve">analyze-notice/index.ts</w:t>
            </w:r>
          </w:p>
        </w:tc>
      </w:tr>
    </w:tbl>
    <w:p>
      <w:pPr>
        <w:spacing w:after="120"/>
      </w:pPr>
      <w:r>
        <w:rPr>
          <w:rFonts w:ascii="Arial" w:cs="Arial" w:eastAsia="Arial" w:hAnsi="Arial"/>
          <w:color w:val="1A1A1A"/>
          <w:sz w:val="20"/>
          <w:szCs w:val="20"/>
        </w:rPr>
        <w:t xml:space="preserve">File uploads have no size limit, no magic-byte validation, and rely solely on user-supplied MIME types. An attacker can upload multi-GB files to exhaust resources or send non-PDF files masquerading as PDFs.</w:t>
      </w:r>
    </w:p>
    <w:p>
      <w:pPr>
        <w:pBdr>
          <w:bottom w:val="single" w:color="E0E0E0" w:sz="4" w:space="6"/>
        </w:pBdr>
        <w:spacing w:before="120" w:after="120"/>
      </w:pPr>
    </w:p>
    <w:p>
      <w:pPr>
        <w:pStyle w:val="Heading3"/>
        <w:spacing w:before="200" w:after="120"/>
      </w:pPr>
      <w:r>
        <w:rPr>
          <w:rFonts w:ascii="Arial" w:cs="Arial" w:eastAsia="Arial" w:hAnsi="Arial"/>
          <w:b/>
          <w:bCs/>
          <w:color w:val="1B3A5C"/>
          <w:sz w:val="22"/>
          <w:szCs w:val="22"/>
        </w:rPr>
        <w:t xml:space="preserve">6. Prompt Injection in AI Analysis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Severity</w:t>
            </w:r>
          </w:p>
        </w:tc>
        <w:tc>
          <w:tcPr>
            <w:tcW w:type="dxa" w:w="7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E06000"/>
                <w:sz w:val="18"/>
                <w:szCs w:val="18"/>
              </w:rPr>
              <w:t xml:space="preserve">HIGH</w:t>
            </w:r>
          </w:p>
        </w:tc>
      </w:tr>
      <w:tr>
        <w:tc>
          <w:tcPr>
            <w:tcW w:type="dxa" w:w="20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Location</w:t>
            </w:r>
          </w:p>
        </w:tc>
        <w:tc>
          <w:tcPr>
            <w:tcW w:type="dxa" w:w="7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18"/>
                <w:szCs w:val="18"/>
              </w:rPr>
              <w:t xml:space="preserve">draft-response, analyze-audit-risk, analyze-notice</w:t>
            </w:r>
          </w:p>
        </w:tc>
      </w:tr>
    </w:tbl>
    <w:p>
      <w:pPr>
        <w:spacing w:after="120"/>
      </w:pPr>
      <w:r>
        <w:rPr>
          <w:rFonts w:ascii="Arial" w:cs="Arial" w:eastAsia="Arial" w:hAnsi="Arial"/>
          <w:color w:val="1A1A1A"/>
          <w:sz w:val="20"/>
          <w:szCs w:val="20"/>
        </w:rPr>
        <w:t xml:space="preserve">User-controlled strings (client names, notice types, summaries) are interpolated directly into LLM prompts without sanitization. Attackers can inject instructions to exfiltrate data or alter analysis output.</w:t>
      </w:r>
    </w:p>
    <w:p>
      <w:pPr>
        <w:pBdr>
          <w:bottom w:val="single" w:color="E0E0E0" w:sz="4" w:space="6"/>
        </w:pBdr>
        <w:spacing w:before="120" w:after="120"/>
      </w:pPr>
    </w:p>
    <w:p>
      <w:pPr>
        <w:pStyle w:val="Heading3"/>
        <w:spacing w:before="200" w:after="120"/>
      </w:pPr>
      <w:r>
        <w:rPr>
          <w:rFonts w:ascii="Arial" w:cs="Arial" w:eastAsia="Arial" w:hAnsi="Arial"/>
          <w:b/>
          <w:bCs/>
          <w:color w:val="1B3A5C"/>
          <w:sz w:val="22"/>
          <w:szCs w:val="22"/>
        </w:rPr>
        <w:t xml:space="preserve">7. No Route-Level Authentication Guards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Severity</w:t>
            </w:r>
          </w:p>
        </w:tc>
        <w:tc>
          <w:tcPr>
            <w:tcW w:type="dxa" w:w="7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E06000"/>
                <w:sz w:val="18"/>
                <w:szCs w:val="18"/>
              </w:rPr>
              <w:t xml:space="preserve">HIGH</w:t>
            </w:r>
          </w:p>
        </w:tc>
      </w:tr>
      <w:tr>
        <w:tc>
          <w:tcPr>
            <w:tcW w:type="dxa" w:w="20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Location</w:t>
            </w:r>
          </w:p>
        </w:tc>
        <w:tc>
          <w:tcPr>
            <w:tcW w:type="dxa" w:w="7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18"/>
                <w:szCs w:val="18"/>
              </w:rPr>
              <w:t xml:space="preserve">App.tsx</w:t>
            </w:r>
          </w:p>
        </w:tc>
      </w:tr>
    </w:tbl>
    <w:p>
      <w:pPr>
        <w:spacing w:after="120"/>
      </w:pPr>
      <w:r>
        <w:rPr>
          <w:rFonts w:ascii="Arial" w:cs="Arial" w:eastAsia="Arial" w:hAnsi="Arial"/>
          <w:color w:val="1A1A1A"/>
          <w:sz w:val="20"/>
          <w:szCs w:val="20"/>
        </w:rPr>
        <w:t xml:space="preserve">All routes are accessible without authentication wrappers. Admin pages like /admin/model-config and /admin/affiliates rely only on component-level checks which can be bypassed by disabling JavaScript.</w:t>
      </w:r>
    </w:p>
    <w:p>
      <w:pPr>
        <w:pBdr>
          <w:bottom w:val="single" w:color="E0E0E0" w:sz="4" w:space="6"/>
        </w:pBdr>
        <w:spacing w:before="120" w:after="120"/>
      </w:pPr>
    </w:p>
    <w:p>
      <w:pPr>
        <w:pStyle w:val="Heading3"/>
        <w:spacing w:before="200" w:after="120"/>
      </w:pPr>
      <w:r>
        <w:rPr>
          <w:rFonts w:ascii="Arial" w:cs="Arial" w:eastAsia="Arial" w:hAnsi="Arial"/>
          <w:b/>
          <w:bCs/>
          <w:color w:val="1B3A5C"/>
          <w:sz w:val="22"/>
          <w:szCs w:val="22"/>
        </w:rPr>
        <w:t xml:space="preserve">8. Unvalidated Stripe Checkout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Severity</w:t>
            </w:r>
          </w:p>
        </w:tc>
        <w:tc>
          <w:tcPr>
            <w:tcW w:type="dxa" w:w="7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E06000"/>
                <w:sz w:val="18"/>
                <w:szCs w:val="18"/>
              </w:rPr>
              <w:t xml:space="preserve">HIGH</w:t>
            </w:r>
          </w:p>
        </w:tc>
      </w:tr>
      <w:tr>
        <w:tc>
          <w:tcPr>
            <w:tcW w:type="dxa" w:w="20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Location</w:t>
            </w:r>
          </w:p>
        </w:tc>
        <w:tc>
          <w:tcPr>
            <w:tcW w:type="dxa" w:w="7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18"/>
                <w:szCs w:val="18"/>
              </w:rPr>
              <w:t xml:space="preserve">stripe-webhook/index.ts</w:t>
            </w:r>
          </w:p>
        </w:tc>
      </w:tr>
    </w:tbl>
    <w:p>
      <w:pPr>
        <w:spacing w:after="120"/>
      </w:pPr>
      <w:r>
        <w:rPr>
          <w:rFonts w:ascii="Arial" w:cs="Arial" w:eastAsia="Arial" w:hAnsi="Arial"/>
          <w:color w:val="1A1A1A"/>
          <w:sz w:val="20"/>
          <w:szCs w:val="20"/>
        </w:rPr>
        <w:t xml:space="preserve">The webhook trusts metadata (user_id, plan_type, covered_years) from the checkout session without cross-referencing the actual Stripe subscription price. Attackers can claim premium plans at basic prices.</w:t>
      </w:r>
    </w:p>
    <w:p>
      <w:pPr>
        <w:pBdr>
          <w:bottom w:val="single" w:color="E0E0E0" w:sz="4" w:space="6"/>
        </w:pBdr>
        <w:spacing w:before="120" w:after="120"/>
      </w:pPr>
    </w:p>
    <w:p>
      <w:pPr>
        <w:pStyle w:val="Heading3"/>
        <w:spacing w:before="200" w:after="120"/>
      </w:pPr>
      <w:r>
        <w:rPr>
          <w:rFonts w:ascii="Arial" w:cs="Arial" w:eastAsia="Arial" w:hAnsi="Arial"/>
          <w:b/>
          <w:bCs/>
          <w:color w:val="1B3A5C"/>
          <w:sz w:val="22"/>
          <w:szCs w:val="22"/>
        </w:rPr>
        <w:t xml:space="preserve">9. Activation Code Enumeration and Email Leakage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Severity</w:t>
            </w:r>
          </w:p>
        </w:tc>
        <w:tc>
          <w:tcPr>
            <w:tcW w:type="dxa" w:w="7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E06000"/>
                <w:sz w:val="18"/>
                <w:szCs w:val="18"/>
              </w:rPr>
              <w:t xml:space="preserve">HIGH</w:t>
            </w:r>
          </w:p>
        </w:tc>
      </w:tr>
      <w:tr>
        <w:tc>
          <w:tcPr>
            <w:tcW w:type="dxa" w:w="20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Location</w:t>
            </w:r>
          </w:p>
        </w:tc>
        <w:tc>
          <w:tcPr>
            <w:tcW w:type="dxa" w:w="7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18"/>
                <w:szCs w:val="18"/>
              </w:rPr>
              <w:t xml:space="preserve">activate-client/index.ts</w:t>
            </w:r>
          </w:p>
        </w:tc>
      </w:tr>
    </w:tbl>
    <w:p>
      <w:pPr>
        <w:spacing w:after="120"/>
      </w:pPr>
      <w:r>
        <w:rPr>
          <w:rFonts w:ascii="Arial" w:cs="Arial" w:eastAsia="Arial" w:hAnsi="Arial"/>
          <w:color w:val="1A1A1A"/>
          <w:sz w:val="20"/>
          <w:szCs w:val="20"/>
        </w:rPr>
        <w:t xml:space="preserve">The validate endpoint returns different responses for valid vs invalid codes and exposes client email addresses on valid codes. Combined with no rate limiting, codes can be brute-forced.</w:t>
      </w:r>
    </w:p>
    <w:p>
      <w:pPr>
        <w:pBdr>
          <w:bottom w:val="single" w:color="E0E0E0" w:sz="4" w:space="6"/>
        </w:pBdr>
        <w:spacing w:before="120" w:after="120"/>
      </w:pPr>
    </w:p>
    <w:p>
      <w:pPr>
        <w:pStyle w:val="Heading3"/>
        <w:spacing w:before="200" w:after="120"/>
      </w:pPr>
      <w:r>
        <w:rPr>
          <w:rFonts w:ascii="Arial" w:cs="Arial" w:eastAsia="Arial" w:hAnsi="Arial"/>
          <w:b/>
          <w:bCs/>
          <w:color w:val="1B3A5C"/>
          <w:sz w:val="22"/>
          <w:szCs w:val="22"/>
        </w:rPr>
        <w:t xml:space="preserve">10. Path Traversal in File Download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Severity</w:t>
            </w:r>
          </w:p>
        </w:tc>
        <w:tc>
          <w:tcPr>
            <w:tcW w:type="dxa" w:w="7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E06000"/>
                <w:sz w:val="18"/>
                <w:szCs w:val="18"/>
              </w:rPr>
              <w:t xml:space="preserve">HIGH</w:t>
            </w:r>
          </w:p>
        </w:tc>
      </w:tr>
      <w:tr>
        <w:tc>
          <w:tcPr>
            <w:tcW w:type="dxa" w:w="20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Location</w:t>
            </w:r>
          </w:p>
        </w:tc>
        <w:tc>
          <w:tcPr>
            <w:tcW w:type="dxa" w:w="7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18"/>
                <w:szCs w:val="18"/>
              </w:rPr>
              <w:t xml:space="preserve">analyze-audit-risk/index.ts</w:t>
            </w:r>
          </w:p>
        </w:tc>
      </w:tr>
    </w:tbl>
    <w:p>
      <w:pPr>
        <w:spacing w:after="120"/>
      </w:pPr>
      <w:r>
        <w:rPr>
          <w:rFonts w:ascii="Arial" w:cs="Arial" w:eastAsia="Arial" w:hAnsi="Arial"/>
          <w:color w:val="1A1A1A"/>
          <w:sz w:val="20"/>
          <w:szCs w:val="20"/>
        </w:rPr>
        <w:t xml:space="preserve">The filePath parameter is used directly in storage.download() without validation. Attackers could craft paths like ../../../../sensitive-file to access unauthorized storage objects.</w:t>
      </w:r>
    </w:p>
    <w:p>
      <w:pPr>
        <w:pBdr>
          <w:bottom w:val="single" w:color="E0E0E0" w:sz="4" w:space="6"/>
        </w:pBdr>
        <w:spacing w:before="120" w:after="120"/>
      </w:pPr>
    </w:p>
    <w:p>
      <w:pPr>
        <w:pStyle w:val="Heading3"/>
        <w:spacing w:before="200" w:after="120"/>
      </w:pPr>
      <w:r>
        <w:rPr>
          <w:rFonts w:ascii="Arial" w:cs="Arial" w:eastAsia="Arial" w:hAnsi="Arial"/>
          <w:b/>
          <w:bCs/>
          <w:color w:val="1B3A5C"/>
          <w:sz w:val="22"/>
          <w:szCs w:val="22"/>
        </w:rPr>
        <w:t xml:space="preserve">11. Weak Password Requirements (6-char minimum)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Severity</w:t>
            </w:r>
          </w:p>
        </w:tc>
        <w:tc>
          <w:tcPr>
            <w:tcW w:type="dxa" w:w="7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CC9900"/>
                <w:sz w:val="18"/>
                <w:szCs w:val="18"/>
              </w:rPr>
              <w:t xml:space="preserve">MEDIUM</w:t>
            </w:r>
          </w:p>
        </w:tc>
      </w:tr>
      <w:tr>
        <w:tc>
          <w:tcPr>
            <w:tcW w:type="dxa" w:w="20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Location</w:t>
            </w:r>
          </w:p>
        </w:tc>
        <w:tc>
          <w:tcPr>
            <w:tcW w:type="dxa" w:w="7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18"/>
                <w:szCs w:val="18"/>
              </w:rPr>
              <w:t xml:space="preserve">activate-client/index.ts</w:t>
            </w:r>
          </w:p>
        </w:tc>
      </w:tr>
    </w:tbl>
    <w:p>
      <w:pPr>
        <w:spacing w:after="120"/>
      </w:pPr>
      <w:r>
        <w:rPr>
          <w:rFonts w:ascii="Arial" w:cs="Arial" w:eastAsia="Arial" w:hAnsi="Arial"/>
          <w:color w:val="1A1A1A"/>
          <w:sz w:val="20"/>
          <w:szCs w:val="20"/>
        </w:rPr>
        <w:t xml:space="preserve">Passwords require only 6 characters with no complexity rules. This is well below NIST SP 800-63B recommendations and makes accounts vulnerable to credential stuffing.</w:t>
      </w:r>
    </w:p>
    <w:p>
      <w:pPr>
        <w:pBdr>
          <w:bottom w:val="single" w:color="E0E0E0" w:sz="4" w:space="6"/>
        </w:pBdr>
        <w:spacing w:before="120" w:after="120"/>
      </w:pPr>
    </w:p>
    <w:p>
      <w:pPr>
        <w:pStyle w:val="Heading3"/>
        <w:spacing w:before="200" w:after="120"/>
      </w:pPr>
      <w:r>
        <w:rPr>
          <w:rFonts w:ascii="Arial" w:cs="Arial" w:eastAsia="Arial" w:hAnsi="Arial"/>
          <w:b/>
          <w:bCs/>
          <w:color w:val="1B3A5C"/>
          <w:sz w:val="22"/>
          <w:szCs w:val="22"/>
        </w:rPr>
        <w:t xml:space="preserve">12. Self-Referral Fraud Not Prevented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Severity</w:t>
            </w:r>
          </w:p>
        </w:tc>
        <w:tc>
          <w:tcPr>
            <w:tcW w:type="dxa" w:w="7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CC9900"/>
                <w:sz w:val="18"/>
                <w:szCs w:val="18"/>
              </w:rPr>
              <w:t xml:space="preserve">MEDIUM</w:t>
            </w:r>
          </w:p>
        </w:tc>
      </w:tr>
      <w:tr>
        <w:tc>
          <w:tcPr>
            <w:tcW w:type="dxa" w:w="20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Location</w:t>
            </w:r>
          </w:p>
        </w:tc>
        <w:tc>
          <w:tcPr>
            <w:tcW w:type="dxa" w:w="7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18"/>
                <w:szCs w:val="18"/>
              </w:rPr>
              <w:t xml:space="preserve">stripe-webhook/index.ts, useReferralTracking.ts</w:t>
            </w:r>
          </w:p>
        </w:tc>
      </w:tr>
    </w:tbl>
    <w:p>
      <w:pPr>
        <w:spacing w:after="120"/>
      </w:pPr>
      <w:r>
        <w:rPr>
          <w:rFonts w:ascii="Arial" w:cs="Arial" w:eastAsia="Arial" w:hAnsi="Arial"/>
          <w:color w:val="1A1A1A"/>
          <w:sz w:val="20"/>
          <w:szCs w:val="20"/>
        </w:rPr>
        <w:t xml:space="preserve">Users can generate their own referral codes and use them during checkout. No check prevents self-referrals, enabling commission fraud.</w:t>
      </w:r>
    </w:p>
    <w:p>
      <w:pPr>
        <w:pBdr>
          <w:bottom w:val="single" w:color="E0E0E0" w:sz="4" w:space="6"/>
        </w:pBdr>
        <w:spacing w:before="120" w:after="120"/>
      </w:pPr>
    </w:p>
    <w:p>
      <w:pPr>
        <w:pStyle w:val="Heading3"/>
        <w:spacing w:before="200" w:after="120"/>
      </w:pPr>
      <w:r>
        <w:rPr>
          <w:rFonts w:ascii="Arial" w:cs="Arial" w:eastAsia="Arial" w:hAnsi="Arial"/>
          <w:b/>
          <w:bCs/>
          <w:color w:val="1B3A5C"/>
          <w:sz w:val="22"/>
          <w:szCs w:val="22"/>
        </w:rPr>
        <w:t xml:space="preserve">13. No Brute Force Protection on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Severity</w:t>
            </w:r>
          </w:p>
        </w:tc>
        <w:tc>
          <w:tcPr>
            <w:tcW w:type="dxa" w:w="7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CC9900"/>
                <w:sz w:val="18"/>
                <w:szCs w:val="18"/>
              </w:rPr>
              <w:t xml:space="preserve">MEDIUM</w:t>
            </w:r>
          </w:p>
        </w:tc>
      </w:tr>
      <w:tr>
        <w:tc>
          <w:tcPr>
            <w:tcW w:type="dxa" w:w="20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Location</w:t>
            </w:r>
          </w:p>
        </w:tc>
        <w:tc>
          <w:tcPr>
            <w:tcW w:type="dxa" w:w="7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18"/>
                <w:szCs w:val="18"/>
              </w:rPr>
              <w:t xml:space="preserve">useAuth.tsx</w:t>
            </w:r>
          </w:p>
        </w:tc>
      </w:tr>
    </w:tbl>
    <w:p>
      <w:pPr>
        <w:spacing w:after="120"/>
      </w:pPr>
      <w:r>
        <w:rPr>
          <w:rFonts w:ascii="Arial" w:cs="Arial" w:eastAsia="Arial" w:hAnsi="Arial"/>
          <w:color w:val="1A1A1A"/>
          <w:sz w:val="20"/>
          <w:szCs w:val="20"/>
        </w:rPr>
        <w:t xml:space="preserve">Authentication has no account lockout or rate limiting after failed attempts. Credential stuffing attacks can run unimpeded.</w:t>
      </w:r>
    </w:p>
    <w:p>
      <w:pPr>
        <w:pBdr>
          <w:bottom w:val="single" w:color="E0E0E0" w:sz="4" w:space="6"/>
        </w:pBdr>
        <w:spacing w:before="120" w:after="120"/>
      </w:pPr>
    </w:p>
    <w:p>
      <w:pPr>
        <w:pStyle w:val="Heading3"/>
        <w:spacing w:before="200" w:after="120"/>
      </w:pPr>
      <w:r>
        <w:rPr>
          <w:rFonts w:ascii="Arial" w:cs="Arial" w:eastAsia="Arial" w:hAnsi="Arial"/>
          <w:b/>
          <w:bCs/>
          <w:color w:val="1B3A5C"/>
          <w:sz w:val="22"/>
          <w:szCs w:val="22"/>
        </w:rPr>
        <w:t xml:space="preserve">14. Session Tokens in localStorage (XSS Vulnerable)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Severity</w:t>
            </w:r>
          </w:p>
        </w:tc>
        <w:tc>
          <w:tcPr>
            <w:tcW w:type="dxa" w:w="7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CC9900"/>
                <w:sz w:val="18"/>
                <w:szCs w:val="18"/>
              </w:rPr>
              <w:t xml:space="preserve">MEDIUM</w:t>
            </w:r>
          </w:p>
        </w:tc>
      </w:tr>
      <w:tr>
        <w:tc>
          <w:tcPr>
            <w:tcW w:type="dxa" w:w="20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Location</w:t>
            </w:r>
          </w:p>
        </w:tc>
        <w:tc>
          <w:tcPr>
            <w:tcW w:type="dxa" w:w="7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18"/>
                <w:szCs w:val="18"/>
              </w:rPr>
              <w:t xml:space="preserve">client.ts</w:t>
            </w:r>
          </w:p>
        </w:tc>
      </w:tr>
    </w:tbl>
    <w:p>
      <w:pPr>
        <w:spacing w:after="120"/>
      </w:pPr>
      <w:r>
        <w:rPr>
          <w:rFonts w:ascii="Arial" w:cs="Arial" w:eastAsia="Arial" w:hAnsi="Arial"/>
          <w:color w:val="1A1A1A"/>
          <w:sz w:val="20"/>
          <w:szCs w:val="20"/>
        </w:rPr>
        <w:t xml:space="preserve">Auth tokens are stored in localStorage which is accessible to any JavaScript running on the page. An XSS vulnerability would immediately compromise all user sessions.</w:t>
      </w:r>
    </w:p>
    <w:p>
      <w:pPr>
        <w:pBdr>
          <w:bottom w:val="single" w:color="E0E0E0" w:sz="4" w:space="6"/>
        </w:pBdr>
        <w:spacing w:before="120" w:after="120"/>
      </w:pPr>
    </w:p>
    <w:p>
      <w:pPr>
        <w:pStyle w:val="Heading3"/>
        <w:spacing w:before="200" w:after="120"/>
      </w:pPr>
      <w:r>
        <w:rPr>
          <w:rFonts w:ascii="Arial" w:cs="Arial" w:eastAsia="Arial" w:hAnsi="Arial"/>
          <w:b/>
          <w:bCs/>
          <w:color w:val="1B3A5C"/>
          <w:sz w:val="22"/>
          <w:szCs w:val="22"/>
        </w:rPr>
        <w:t xml:space="preserve">15. Email Capture Without Explicit Consent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Severity</w:t>
            </w:r>
          </w:p>
        </w:tc>
        <w:tc>
          <w:tcPr>
            <w:tcW w:type="dxa" w:w="7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CC9900"/>
                <w:sz w:val="18"/>
                <w:szCs w:val="18"/>
              </w:rPr>
              <w:t xml:space="preserve">MEDIUM</w:t>
            </w:r>
          </w:p>
        </w:tc>
      </w:tr>
      <w:tr>
        <w:tc>
          <w:tcPr>
            <w:tcW w:type="dxa" w:w="20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Location</w:t>
            </w:r>
          </w:p>
        </w:tc>
        <w:tc>
          <w:tcPr>
            <w:tcW w:type="dxa" w:w="7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18"/>
                <w:szCs w:val="18"/>
              </w:rPr>
              <w:t xml:space="preserve">FreeScan.tsx</w:t>
            </w:r>
          </w:p>
        </w:tc>
      </w:tr>
    </w:tbl>
    <w:p>
      <w:pPr>
        <w:spacing w:after="120"/>
      </w:pPr>
      <w:r>
        <w:rPr>
          <w:rFonts w:ascii="Arial" w:cs="Arial" w:eastAsia="Arial" w:hAnsi="Arial"/>
          <w:color w:val="1A1A1A"/>
          <w:sz w:val="20"/>
          <w:szCs w:val="20"/>
        </w:rPr>
        <w:t xml:space="preserve">The free scan flow captures emails into newsletter_subscribers without an opt-in checkbox or audit trail. This risks GDPR/CCPA non-compliance.</w:t>
      </w:r>
    </w:p>
    <w:p>
      <w:pPr>
        <w:pBdr>
          <w:bottom w:val="single" w:color="E0E0E0" w:sz="4" w:space="6"/>
        </w:pBdr>
        <w:spacing w:before="120" w:after="120"/>
      </w:pPr>
    </w:p>
    <w:p>
      <w:pPr>
        <w:pStyle w:val="Heading3"/>
        <w:spacing w:before="200" w:after="120"/>
      </w:pPr>
      <w:r>
        <w:rPr>
          <w:rFonts w:ascii="Arial" w:cs="Arial" w:eastAsia="Arial" w:hAnsi="Arial"/>
          <w:b/>
          <w:bCs/>
          <w:color w:val="1B3A5C"/>
          <w:sz w:val="22"/>
          <w:szCs w:val="22"/>
        </w:rPr>
        <w:t xml:space="preserve">16. Missing Timeouts on External AI API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Severity</w:t>
            </w:r>
          </w:p>
        </w:tc>
        <w:tc>
          <w:tcPr>
            <w:tcW w:type="dxa" w:w="7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CC9900"/>
                <w:sz w:val="18"/>
                <w:szCs w:val="18"/>
              </w:rPr>
              <w:t xml:space="preserve">MEDIUM</w:t>
            </w:r>
          </w:p>
        </w:tc>
      </w:tr>
      <w:tr>
        <w:tc>
          <w:tcPr>
            <w:tcW w:type="dxa" w:w="20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Location</w:t>
            </w:r>
          </w:p>
        </w:tc>
        <w:tc>
          <w:tcPr>
            <w:tcW w:type="dxa" w:w="7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18"/>
                <w:szCs w:val="18"/>
              </w:rPr>
              <w:t xml:space="preserve">analyze-audit-risk, decode-transcript</w:t>
            </w:r>
          </w:p>
        </w:tc>
      </w:tr>
    </w:tbl>
    <w:p>
      <w:pPr>
        <w:spacing w:after="120"/>
      </w:pPr>
      <w:r>
        <w:rPr>
          <w:rFonts w:ascii="Arial" w:cs="Arial" w:eastAsia="Arial" w:hAnsi="Arial"/>
          <w:color w:val="1A1A1A"/>
          <w:sz w:val="20"/>
          <w:szCs w:val="20"/>
        </w:rPr>
        <w:t xml:space="preserve">AI API fetch calls have no timeout or AbortController. A hanging upstream service would block the edge function indefinitely, consuming resources.</w:t>
      </w:r>
    </w:p>
    <w:p>
      <w:pPr>
        <w:pBdr>
          <w:bottom w:val="single" w:color="E0E0E0" w:sz="4" w:space="6"/>
        </w:pBdr>
        <w:spacing w:before="120" w:after="120"/>
      </w:pPr>
    </w:p>
    <w:p>
      <w:pPr>
        <w:pStyle w:val="Heading3"/>
        <w:spacing w:before="200" w:after="120"/>
      </w:pPr>
      <w:r>
        <w:rPr>
          <w:rFonts w:ascii="Arial" w:cs="Arial" w:eastAsia="Arial" w:hAnsi="Arial"/>
          <w:b/>
          <w:bCs/>
          <w:color w:val="1B3A5C"/>
          <w:sz w:val="22"/>
          <w:szCs w:val="22"/>
        </w:rPr>
        <w:t xml:space="preserve">17. Insufficient Security Audit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Severity</w:t>
            </w:r>
          </w:p>
        </w:tc>
        <w:tc>
          <w:tcPr>
            <w:tcW w:type="dxa" w:w="7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CC9900"/>
                <w:sz w:val="18"/>
                <w:szCs w:val="18"/>
              </w:rPr>
              <w:t xml:space="preserve">MEDIUM</w:t>
            </w:r>
          </w:p>
        </w:tc>
      </w:tr>
      <w:tr>
        <w:tc>
          <w:tcPr>
            <w:tcW w:type="dxa" w:w="20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Location</w:t>
            </w:r>
          </w:p>
        </w:tc>
        <w:tc>
          <w:tcPr>
            <w:tcW w:type="dxa" w:w="7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18"/>
                <w:szCs w:val="18"/>
              </w:rPr>
              <w:t xml:space="preserve">useSecurityLog.ts</w:t>
            </w:r>
          </w:p>
        </w:tc>
      </w:tr>
    </w:tbl>
    <w:p>
      <w:pPr>
        <w:spacing w:after="120"/>
      </w:pPr>
      <w:r>
        <w:rPr>
          <w:rFonts w:ascii="Arial" w:cs="Arial" w:eastAsia="Arial" w:hAnsi="Arial"/>
          <w:color w:val="1A1A1A"/>
          <w:sz w:val="20"/>
          <w:szCs w:val="20"/>
        </w:rPr>
        <w:t xml:space="preserve">Security logging silently fails for unauthenticated events and does not cover failed logins, webhook processing, activation attempts, or API calls from edge functions.</w:t>
      </w:r>
    </w:p>
    <w:p>
      <w:pPr>
        <w:pBdr>
          <w:bottom w:val="single" w:color="E0E0E0" w:sz="4" w:space="6"/>
        </w:pBdr>
        <w:spacing w:before="120" w:after="120"/>
      </w:pPr>
    </w:p>
    <w:p>
      <w:pPr>
        <w:pStyle w:val="Heading3"/>
        <w:spacing w:before="200" w:after="120"/>
      </w:pPr>
      <w:r>
        <w:rPr>
          <w:rFonts w:ascii="Arial" w:cs="Arial" w:eastAsia="Arial" w:hAnsi="Arial"/>
          <w:b/>
          <w:bCs/>
          <w:color w:val="1B3A5C"/>
          <w:sz w:val="22"/>
          <w:szCs w:val="22"/>
        </w:rPr>
        <w:t xml:space="preserve">18. No Encryption for Sensitive Data at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Severity</w:t>
            </w:r>
          </w:p>
        </w:tc>
        <w:tc>
          <w:tcPr>
            <w:tcW w:type="dxa" w:w="7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CC9900"/>
                <w:sz w:val="18"/>
                <w:szCs w:val="18"/>
              </w:rPr>
              <w:t xml:space="preserve">MEDIUM</w:t>
            </w:r>
          </w:p>
        </w:tc>
      </w:tr>
      <w:tr>
        <w:tc>
          <w:tcPr>
            <w:tcW w:type="dxa" w:w="2000"/>
            <w:tcBorders>
              <w:top w:val="single" w:color="E0E0E0" w:sz="1"/>
              <w:left w:val="single" w:color="E0E0E0" w:sz="1"/>
              <w:bottom w:val="single" w:color="E0E0E0" w:sz="1"/>
              <w:right w:val="single" w:color="E0E0E0" w:sz="1"/>
            </w:tcBorders>
            <w:shd w:fill="F2F2F2" w:val="clear"/>
            <w:tcMar>
              <w:top w:type="dxa" w:w="60"/>
              <w:left w:type="dxa" w:w="100"/>
              <w:bottom w:type="dxa" w:w="60"/>
              <w:right w:type="dxa" w:w="100"/>
            </w:tcMar>
          </w:tcPr>
          <w:p>
            <w:r>
              <w:rPr>
                <w:rFonts w:ascii="Arial" w:cs="Arial" w:eastAsia="Arial" w:hAnsi="Arial"/>
                <w:b/>
                <w:bCs/>
                <w:color w:val="1A1A1A"/>
                <w:sz w:val="18"/>
                <w:szCs w:val="18"/>
              </w:rPr>
              <w:t xml:space="preserve">Location</w:t>
            </w:r>
          </w:p>
        </w:tc>
        <w:tc>
          <w:tcPr>
            <w:tcW w:type="dxa" w:w="7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1A1A1A"/>
                <w:sz w:val="18"/>
                <w:szCs w:val="18"/>
              </w:rPr>
              <w:t xml:space="preserve">Database/Storage</w:t>
            </w:r>
          </w:p>
        </w:tc>
      </w:tr>
    </w:tbl>
    <w:p>
      <w:pPr>
        <w:spacing w:after="120"/>
      </w:pPr>
      <w:r>
        <w:rPr>
          <w:rFonts w:ascii="Arial" w:cs="Arial" w:eastAsia="Arial" w:hAnsi="Arial"/>
          <w:color w:val="1A1A1A"/>
          <w:sz w:val="20"/>
          <w:szCs w:val="20"/>
        </w:rPr>
        <w:t xml:space="preserve">Tax returns, client PII, and financial data are stored without field-level encryption. A database breach would expose all records in plaintext.</w:t>
      </w:r>
    </w:p>
    <w:p>
      <w:r>
        <w:br w:type="page"/>
      </w:r>
    </w:p>
    <w:p>
      <w:pPr>
        <w:pStyle w:val="Heading2"/>
        <w:spacing w:before="280" w:after="160"/>
      </w:pPr>
      <w:r>
        <w:rPr>
          <w:rFonts w:ascii="Arial" w:cs="Arial" w:eastAsia="Arial" w:hAnsi="Arial"/>
          <w:b/>
          <w:bCs/>
          <w:color w:val="2E75B6"/>
          <w:sz w:val="26"/>
          <w:szCs w:val="26"/>
        </w:rPr>
        <w:t xml:space="preserve">Recommended Remediation Timeline</w:t>
      </w:r>
    </w:p>
    <w:p>
      <w:pPr>
        <w:pStyle w:val="Heading3"/>
        <w:spacing w:before="200" w:after="120"/>
      </w:pPr>
      <w:r>
        <w:rPr>
          <w:rFonts w:ascii="Arial" w:cs="Arial" w:eastAsia="Arial" w:hAnsi="Arial"/>
          <w:b/>
          <w:bCs/>
          <w:color w:val="1B3A5C"/>
          <w:sz w:val="22"/>
          <w:szCs w:val="22"/>
        </w:rPr>
        <w:t xml:space="preserve">Week 1 — Critical (Immediate)</w:t>
      </w:r>
    </w:p>
    <w:p>
      <w:pPr>
        <w:pStyle w:val="ListParagraph"/>
        <w:numPr>
          <w:ilvl w:val="0"/>
          <w:numId w:val="2"/>
        </w:numPr>
        <w:spacing w:after="60"/>
      </w:pPr>
      <w:r>
        <w:rPr>
          <w:rFonts w:ascii="Arial" w:cs="Arial" w:eastAsia="Arial" w:hAnsi="Arial"/>
          <w:color w:val="1A1A1A"/>
          <w:sz w:val="20"/>
          <w:szCs w:val="20"/>
        </w:rPr>
        <w:t xml:space="preserve">Require STRIPE_WEBHOOK_SECRET in production and fail-closed when unset; reject all unverified webhook events</w:t>
      </w:r>
    </w:p>
    <w:p>
      <w:pPr>
        <w:pStyle w:val="ListParagraph"/>
        <w:numPr>
          <w:ilvl w:val="0"/>
          <w:numId w:val="2"/>
        </w:numPr>
        <w:spacing w:after="60"/>
      </w:pPr>
      <w:r>
        <w:rPr>
          <w:rFonts w:ascii="Arial" w:cs="Arial" w:eastAsia="Arial" w:hAnsi="Arial"/>
          <w:color w:val="1A1A1A"/>
          <w:sz w:val="20"/>
          <w:szCs w:val="20"/>
        </w:rPr>
        <w:t xml:space="preserve">Rotate Supabase anon key and remove .env from version control; add .env to .gitignore</w:t>
      </w:r>
    </w:p>
    <w:p>
      <w:pPr>
        <w:pStyle w:val="ListParagraph"/>
        <w:numPr>
          <w:ilvl w:val="0"/>
          <w:numId w:val="2"/>
        </w:numPr>
        <w:spacing w:after="60"/>
      </w:pPr>
      <w:r>
        <w:rPr>
          <w:rFonts w:ascii="Arial" w:cs="Arial" w:eastAsia="Arial" w:hAnsi="Arial"/>
          <w:color w:val="1A1A1A"/>
          <w:sz w:val="20"/>
          <w:szCs w:val="20"/>
        </w:rPr>
        <w:t xml:space="preserve">Restrict CORS headers to specific production domains on all 25+ edge functions</w:t>
      </w:r>
    </w:p>
    <w:p>
      <w:pPr>
        <w:pStyle w:val="ListParagraph"/>
        <w:numPr>
          <w:ilvl w:val="0"/>
          <w:numId w:val="2"/>
        </w:numPr>
        <w:spacing w:after="60"/>
      </w:pPr>
      <w:r>
        <w:rPr>
          <w:rFonts w:ascii="Arial" w:cs="Arial" w:eastAsia="Arial" w:hAnsi="Arial"/>
          <w:color w:val="1A1A1A"/>
          <w:sz w:val="20"/>
          <w:szCs w:val="20"/>
        </w:rPr>
        <w:t xml:space="preserve">Add request signature verification to all public-facing API endpoints</w:t>
      </w:r>
    </w:p>
    <w:p>
      <w:pPr>
        <w:pStyle w:val="Heading3"/>
        <w:spacing w:before="200" w:after="120"/>
      </w:pPr>
      <w:r>
        <w:rPr>
          <w:rFonts w:ascii="Arial" w:cs="Arial" w:eastAsia="Arial" w:hAnsi="Arial"/>
          <w:b/>
          <w:bCs/>
          <w:color w:val="1B3A5C"/>
          <w:sz w:val="22"/>
          <w:szCs w:val="22"/>
        </w:rPr>
        <w:t xml:space="preserve">Week 2 — High Severity</w:t>
      </w:r>
    </w:p>
    <w:p>
      <w:pPr>
        <w:pStyle w:val="ListParagraph"/>
        <w:numPr>
          <w:ilvl w:val="0"/>
          <w:numId w:val="2"/>
        </w:numPr>
        <w:spacing w:after="60"/>
      </w:pPr>
      <w:r>
        <w:rPr>
          <w:rFonts w:ascii="Arial" w:cs="Arial" w:eastAsia="Arial" w:hAnsi="Arial"/>
          <w:color w:val="1A1A1A"/>
          <w:sz w:val="20"/>
          <w:szCs w:val="20"/>
        </w:rPr>
        <w:t xml:space="preserve">Implement per-user rate limiting with sliding window on all edge functions (especially AI analysis endpoints)</w:t>
      </w:r>
    </w:p>
    <w:p>
      <w:pPr>
        <w:pStyle w:val="ListParagraph"/>
        <w:numPr>
          <w:ilvl w:val="0"/>
          <w:numId w:val="2"/>
        </w:numPr>
        <w:spacing w:after="60"/>
      </w:pPr>
      <w:r>
        <w:rPr>
          <w:rFonts w:ascii="Arial" w:cs="Arial" w:eastAsia="Arial" w:hAnsi="Arial"/>
          <w:color w:val="1A1A1A"/>
          <w:sz w:val="20"/>
          <w:szCs w:val="20"/>
        </w:rPr>
        <w:t xml:space="preserve">Add file upload validation: 10MB size limit, PDF magic byte verification, content-type enforcement</w:t>
      </w:r>
    </w:p>
    <w:p>
      <w:pPr>
        <w:pStyle w:val="ListParagraph"/>
        <w:numPr>
          <w:ilvl w:val="0"/>
          <w:numId w:val="2"/>
        </w:numPr>
        <w:spacing w:after="60"/>
      </w:pPr>
      <w:r>
        <w:rPr>
          <w:rFonts w:ascii="Arial" w:cs="Arial" w:eastAsia="Arial" w:hAnsi="Arial"/>
          <w:color w:val="1A1A1A"/>
          <w:sz w:val="20"/>
          <w:szCs w:val="20"/>
        </w:rPr>
        <w:t xml:space="preserve">Implement ProtectedRoute component with role-based guards for all authenticated routes</w:t>
      </w:r>
    </w:p>
    <w:p>
      <w:pPr>
        <w:pStyle w:val="ListParagraph"/>
        <w:numPr>
          <w:ilvl w:val="0"/>
          <w:numId w:val="2"/>
        </w:numPr>
        <w:spacing w:after="60"/>
      </w:pPr>
      <w:r>
        <w:rPr>
          <w:rFonts w:ascii="Arial" w:cs="Arial" w:eastAsia="Arial" w:hAnsi="Arial"/>
          <w:color w:val="1A1A1A"/>
          <w:sz w:val="20"/>
          <w:szCs w:val="20"/>
        </w:rPr>
        <w:t xml:space="preserve">Sanitize all user inputs before LLM prompt interpolation; add output validation on AI responses</w:t>
      </w:r>
    </w:p>
    <w:p>
      <w:pPr>
        <w:pStyle w:val="ListParagraph"/>
        <w:numPr>
          <w:ilvl w:val="0"/>
          <w:numId w:val="2"/>
        </w:numPr>
        <w:spacing w:after="60"/>
      </w:pPr>
      <w:r>
        <w:rPr>
          <w:rFonts w:ascii="Arial" w:cs="Arial" w:eastAsia="Arial" w:hAnsi="Arial"/>
          <w:color w:val="1A1A1A"/>
          <w:sz w:val="20"/>
          <w:szCs w:val="20"/>
        </w:rPr>
        <w:t xml:space="preserve">Verify Stripe metadata server-side by cross-referencing subscription price IDs against plan pricing</w:t>
      </w:r>
    </w:p>
    <w:p>
      <w:pPr>
        <w:pStyle w:val="ListParagraph"/>
        <w:numPr>
          <w:ilvl w:val="0"/>
          <w:numId w:val="2"/>
        </w:numPr>
        <w:spacing w:after="60"/>
      </w:pPr>
      <w:r>
        <w:rPr>
          <w:rFonts w:ascii="Arial" w:cs="Arial" w:eastAsia="Arial" w:hAnsi="Arial"/>
          <w:color w:val="1A1A1A"/>
          <w:sz w:val="20"/>
          <w:szCs w:val="20"/>
        </w:rPr>
        <w:t xml:space="preserve">Add brute-force protection to activation code validation (max 3 attempts per 15 minutes)</w:t>
      </w:r>
    </w:p>
    <w:p>
      <w:pPr>
        <w:pStyle w:val="ListParagraph"/>
        <w:numPr>
          <w:ilvl w:val="0"/>
          <w:numId w:val="2"/>
        </w:numPr>
        <w:spacing w:after="60"/>
      </w:pPr>
      <w:r>
        <w:rPr>
          <w:rFonts w:ascii="Arial" w:cs="Arial" w:eastAsia="Arial" w:hAnsi="Arial"/>
          <w:color w:val="1A1A1A"/>
          <w:sz w:val="20"/>
          <w:szCs w:val="20"/>
        </w:rPr>
        <w:t xml:space="preserve">Remove client email from activation code validation response</w:t>
      </w:r>
    </w:p>
    <w:p>
      <w:pPr>
        <w:pStyle w:val="ListParagraph"/>
        <w:numPr>
          <w:ilvl w:val="0"/>
          <w:numId w:val="2"/>
        </w:numPr>
        <w:spacing w:after="60"/>
      </w:pPr>
      <w:r>
        <w:rPr>
          <w:rFonts w:ascii="Arial" w:cs="Arial" w:eastAsia="Arial" w:hAnsi="Arial"/>
          <w:color w:val="1A1A1A"/>
          <w:sz w:val="20"/>
          <w:szCs w:val="20"/>
        </w:rPr>
        <w:t xml:space="preserve">Validate filePath format and enforce user-scoped storage access in analyze-audit-risk</w:t>
      </w:r>
    </w:p>
    <w:p>
      <w:pPr>
        <w:pStyle w:val="Heading3"/>
        <w:spacing w:before="200" w:after="120"/>
      </w:pPr>
      <w:r>
        <w:rPr>
          <w:rFonts w:ascii="Arial" w:cs="Arial" w:eastAsia="Arial" w:hAnsi="Arial"/>
          <w:b/>
          <w:bCs/>
          <w:color w:val="1B3A5C"/>
          <w:sz w:val="22"/>
          <w:szCs w:val="22"/>
        </w:rPr>
        <w:t xml:space="preserve">Week 3 — Medium Severity</w:t>
      </w:r>
    </w:p>
    <w:p>
      <w:pPr>
        <w:pStyle w:val="ListParagraph"/>
        <w:numPr>
          <w:ilvl w:val="0"/>
          <w:numId w:val="2"/>
        </w:numPr>
        <w:spacing w:after="60"/>
      </w:pPr>
      <w:r>
        <w:rPr>
          <w:rFonts w:ascii="Arial" w:cs="Arial" w:eastAsia="Arial" w:hAnsi="Arial"/>
          <w:color w:val="1A1A1A"/>
          <w:sz w:val="20"/>
          <w:szCs w:val="20"/>
        </w:rPr>
        <w:t xml:space="preserve">Increase minimum password length to 12 characters with complexity requirements per NIST SP 800-63B</w:t>
      </w:r>
    </w:p>
    <w:p>
      <w:pPr>
        <w:pStyle w:val="ListParagraph"/>
        <w:numPr>
          <w:ilvl w:val="0"/>
          <w:numId w:val="2"/>
        </w:numPr>
        <w:spacing w:after="60"/>
      </w:pPr>
      <w:r>
        <w:rPr>
          <w:rFonts w:ascii="Arial" w:cs="Arial" w:eastAsia="Arial" w:hAnsi="Arial"/>
          <w:color w:val="1A1A1A"/>
          <w:sz w:val="20"/>
          <w:szCs w:val="20"/>
        </w:rPr>
        <w:t xml:space="preserve">Add self-referral detection in the Stripe webhook to prevent commission fraud</w:t>
      </w:r>
    </w:p>
    <w:p>
      <w:pPr>
        <w:pStyle w:val="ListParagraph"/>
        <w:numPr>
          <w:ilvl w:val="0"/>
          <w:numId w:val="2"/>
        </w:numPr>
        <w:spacing w:after="60"/>
      </w:pPr>
      <w:r>
        <w:rPr>
          <w:rFonts w:ascii="Arial" w:cs="Arial" w:eastAsia="Arial" w:hAnsi="Arial"/>
          <w:color w:val="1A1A1A"/>
          <w:sz w:val="20"/>
          <w:szCs w:val="20"/>
        </w:rPr>
        <w:t xml:space="preserve">Implement exponential backoff and account lockout after 5 failed login attempts</w:t>
      </w:r>
    </w:p>
    <w:p>
      <w:pPr>
        <w:pStyle w:val="ListParagraph"/>
        <w:numPr>
          <w:ilvl w:val="0"/>
          <w:numId w:val="2"/>
        </w:numPr>
        <w:spacing w:after="60"/>
      </w:pPr>
      <w:r>
        <w:rPr>
          <w:rFonts w:ascii="Arial" w:cs="Arial" w:eastAsia="Arial" w:hAnsi="Arial"/>
          <w:color w:val="1A1A1A"/>
          <w:sz w:val="20"/>
          <w:szCs w:val="20"/>
        </w:rPr>
        <w:t xml:space="preserve">Migrate auth tokens from localStorage to httpOnly cookies or Supabase PKCE flow</w:t>
      </w:r>
    </w:p>
    <w:p>
      <w:pPr>
        <w:pStyle w:val="ListParagraph"/>
        <w:numPr>
          <w:ilvl w:val="0"/>
          <w:numId w:val="2"/>
        </w:numPr>
        <w:spacing w:after="60"/>
      </w:pPr>
      <w:r>
        <w:rPr>
          <w:rFonts w:ascii="Arial" w:cs="Arial" w:eastAsia="Arial" w:hAnsi="Arial"/>
          <w:color w:val="1A1A1A"/>
          <w:sz w:val="20"/>
          <w:szCs w:val="20"/>
        </w:rPr>
        <w:t xml:space="preserve">Add explicit consent checkbox with timestamp for email capture on free scan page</w:t>
      </w:r>
    </w:p>
    <w:p>
      <w:pPr>
        <w:pStyle w:val="ListParagraph"/>
        <w:numPr>
          <w:ilvl w:val="0"/>
          <w:numId w:val="2"/>
        </w:numPr>
        <w:spacing w:after="60"/>
      </w:pPr>
      <w:r>
        <w:rPr>
          <w:rFonts w:ascii="Arial" w:cs="Arial" w:eastAsia="Arial" w:hAnsi="Arial"/>
          <w:color w:val="1A1A1A"/>
          <w:sz w:val="20"/>
          <w:szCs w:val="20"/>
        </w:rPr>
        <w:t xml:space="preserve">Add AbortController with 30-second timeouts on all external AI and email API calls</w:t>
      </w:r>
    </w:p>
    <w:p>
      <w:pPr>
        <w:pStyle w:val="ListParagraph"/>
        <w:numPr>
          <w:ilvl w:val="0"/>
          <w:numId w:val="2"/>
        </w:numPr>
        <w:spacing w:after="60"/>
      </w:pPr>
      <w:r>
        <w:rPr>
          <w:rFonts w:ascii="Arial" w:cs="Arial" w:eastAsia="Arial" w:hAnsi="Arial"/>
          <w:color w:val="1A1A1A"/>
          <w:sz w:val="20"/>
          <w:szCs w:val="20"/>
        </w:rPr>
        <w:t xml:space="preserve">Expand security audit logging to cover edge function events, failed authentications, and webhook processing</w:t>
      </w:r>
    </w:p>
    <w:p>
      <w:pPr>
        <w:pStyle w:val="ListParagraph"/>
        <w:numPr>
          <w:ilvl w:val="0"/>
          <w:numId w:val="2"/>
        </w:numPr>
        <w:spacing w:after="60"/>
      </w:pPr>
      <w:r>
        <w:rPr>
          <w:rFonts w:ascii="Arial" w:cs="Arial" w:eastAsia="Arial" w:hAnsi="Arial"/>
          <w:color w:val="1A1A1A"/>
          <w:sz w:val="20"/>
          <w:szCs w:val="20"/>
        </w:rPr>
        <w:t xml:space="preserve">Evaluate field-level encryption for PII columns in the database</w:t>
      </w:r>
    </w:p>
    <w:p>
      <w:r>
        <w:br w:type="page"/>
      </w:r>
    </w:p>
    <w:p>
      <w:pPr>
        <w:pStyle w:val="Heading1"/>
        <w:spacing w:before="360" w:after="200"/>
      </w:pPr>
      <w:r>
        <w:rPr>
          <w:rFonts w:ascii="Arial" w:cs="Arial" w:eastAsia="Arial" w:hAnsi="Arial"/>
          <w:b/>
          <w:bCs/>
          <w:color w:val="1B3A5C"/>
          <w:sz w:val="32"/>
          <w:szCs w:val="32"/>
        </w:rPr>
        <w:t xml:space="preserve">Part 2: Functionality Inventory</w:t>
      </w:r>
    </w:p>
    <w:p>
      <w:pPr>
        <w:spacing w:after="120"/>
      </w:pPr>
      <w:r>
        <w:rPr>
          <w:rFonts w:ascii="Arial" w:cs="Arial" w:eastAsia="Arial" w:hAnsi="Arial"/>
          <w:color w:val="1A1A1A"/>
          <w:sz w:val="20"/>
          <w:szCs w:val="20"/>
        </w:rPr>
        <w:t xml:space="preserve">The platform encompasses 60+ features organized across 10 functional categories. This inventory covers all capabilities identified through a complete codebase review of 30+ page components, 25+ edge functions, and 50+ database migrations.</w:t>
      </w:r>
    </w:p>
    <w:p>
      <w:pPr>
        <w:pStyle w:val="Heading2"/>
        <w:spacing w:before="280" w:after="160"/>
      </w:pPr>
      <w:r>
        <w:rPr>
          <w:rFonts w:ascii="Arial" w:cs="Arial" w:eastAsia="Arial" w:hAnsi="Arial"/>
          <w:b/>
          <w:bCs/>
          <w:color w:val="2E75B6"/>
          <w:sz w:val="26"/>
          <w:szCs w:val="26"/>
        </w:rPr>
        <w:t xml:space="preserve">1. Audit Risk Assessment</w:t>
      </w:r>
    </w:p>
    <w:p>
      <w:pPr>
        <w:pStyle w:val="ListParagraph"/>
        <w:numPr>
          <w:ilvl w:val="0"/>
          <w:numId w:val="2"/>
        </w:numPr>
        <w:spacing w:after="60"/>
      </w:pPr>
      <w:r>
        <w:rPr>
          <w:rFonts w:ascii="Arial" w:cs="Arial" w:eastAsia="Arial" w:hAnsi="Arial"/>
          <w:color w:val="1A1A1A"/>
          <w:sz w:val="20"/>
          <w:szCs w:val="20"/>
        </w:rPr>
        <w:t xml:space="preserve">AI-powered analysis of tax returns (1040, 1120-S, 1120) via PDF upload</w:t>
      </w:r>
    </w:p>
    <w:p>
      <w:pPr>
        <w:pStyle w:val="ListParagraph"/>
        <w:numPr>
          <w:ilvl w:val="0"/>
          <w:numId w:val="2"/>
        </w:numPr>
        <w:spacing w:after="60"/>
      </w:pPr>
      <w:r>
        <w:rPr>
          <w:rFonts w:ascii="Arial" w:cs="Arial" w:eastAsia="Arial" w:hAnsi="Arial"/>
          <w:color w:val="1A1A1A"/>
          <w:sz w:val="20"/>
          <w:szCs w:val="20"/>
        </w:rPr>
        <w:t xml:space="preserve">Risk scoring on a 0–100 scale with multiple weighted factors</w:t>
      </w:r>
    </w:p>
    <w:p>
      <w:pPr>
        <w:pStyle w:val="ListParagraph"/>
        <w:numPr>
          <w:ilvl w:val="0"/>
          <w:numId w:val="2"/>
        </w:numPr>
        <w:spacing w:after="60"/>
      </w:pPr>
      <w:r>
        <w:rPr>
          <w:rFonts w:ascii="Arial" w:cs="Arial" w:eastAsia="Arial" w:hAnsi="Arial"/>
          <w:color w:val="1A1A1A"/>
          <w:sz w:val="20"/>
          <w:szCs w:val="20"/>
        </w:rPr>
        <w:t xml:space="preserve">IRS benchmark comparison by income range and tax year</w:t>
      </w:r>
    </w:p>
    <w:p>
      <w:pPr>
        <w:pStyle w:val="ListParagraph"/>
        <w:numPr>
          <w:ilvl w:val="0"/>
          <w:numId w:val="2"/>
        </w:numPr>
        <w:spacing w:after="60"/>
      </w:pPr>
      <w:r>
        <w:rPr>
          <w:rFonts w:ascii="Arial" w:cs="Arial" w:eastAsia="Arial" w:hAnsi="Arial"/>
          <w:color w:val="1A1A1A"/>
          <w:sz w:val="20"/>
          <w:szCs w:val="20"/>
        </w:rPr>
        <w:t xml:space="preserve">Red flag detection: round numbers, unusual deduction ratios, lifestyle mismatches</w:t>
      </w:r>
    </w:p>
    <w:p>
      <w:pPr>
        <w:pStyle w:val="ListParagraph"/>
        <w:numPr>
          <w:ilvl w:val="0"/>
          <w:numId w:val="2"/>
        </w:numPr>
        <w:spacing w:after="60"/>
      </w:pPr>
      <w:r>
        <w:rPr>
          <w:rFonts w:ascii="Arial" w:cs="Arial" w:eastAsia="Arial" w:hAnsi="Arial"/>
          <w:color w:val="1A1A1A"/>
          <w:sz w:val="20"/>
          <w:szCs w:val="20"/>
        </w:rPr>
        <w:t xml:space="preserve">Charitable contribution validation against DIF score thresholds</w:t>
      </w:r>
    </w:p>
    <w:p>
      <w:pPr>
        <w:pStyle w:val="ListParagraph"/>
        <w:numPr>
          <w:ilvl w:val="0"/>
          <w:numId w:val="2"/>
        </w:numPr>
        <w:spacing w:after="60"/>
      </w:pPr>
      <w:r>
        <w:rPr>
          <w:rFonts w:ascii="Arial" w:cs="Arial" w:eastAsia="Arial" w:hAnsi="Arial"/>
          <w:color w:val="1A1A1A"/>
          <w:sz w:val="20"/>
          <w:szCs w:val="20"/>
        </w:rPr>
        <w:t xml:space="preserve">Free scan tier (limited) and paid deep analysis tier</w:t>
      </w:r>
    </w:p>
    <w:p>
      <w:pPr>
        <w:pStyle w:val="ListParagraph"/>
        <w:numPr>
          <w:ilvl w:val="0"/>
          <w:numId w:val="2"/>
        </w:numPr>
        <w:spacing w:after="60"/>
      </w:pPr>
      <w:r>
        <w:rPr>
          <w:rFonts w:ascii="Arial" w:cs="Arial" w:eastAsia="Arial" w:hAnsi="Arial"/>
          <w:color w:val="1A1A1A"/>
          <w:sz w:val="20"/>
          <w:szCs w:val="20"/>
        </w:rPr>
        <w:t xml:space="preserve">Batch risk scanning for multiple client returns at once</w:t>
      </w:r>
    </w:p>
    <w:p>
      <w:pPr>
        <w:pStyle w:val="Heading2"/>
        <w:spacing w:before="280" w:after="160"/>
      </w:pPr>
      <w:r>
        <w:rPr>
          <w:rFonts w:ascii="Arial" w:cs="Arial" w:eastAsia="Arial" w:hAnsi="Arial"/>
          <w:b/>
          <w:bCs/>
          <w:color w:val="2E75B6"/>
          <w:sz w:val="26"/>
          <w:szCs w:val="26"/>
        </w:rPr>
        <w:t xml:space="preserve">2. IRS Notice &amp; Penalty Processing</w:t>
      </w:r>
    </w:p>
    <w:p>
      <w:pPr>
        <w:pStyle w:val="ListParagraph"/>
        <w:numPr>
          <w:ilvl w:val="0"/>
          <w:numId w:val="2"/>
        </w:numPr>
        <w:spacing w:after="60"/>
      </w:pPr>
      <w:r>
        <w:rPr>
          <w:rFonts w:ascii="Arial" w:cs="Arial" w:eastAsia="Arial" w:hAnsi="Arial"/>
          <w:color w:val="1A1A1A"/>
          <w:sz w:val="20"/>
          <w:szCs w:val="20"/>
        </w:rPr>
        <w:t xml:space="preserve">PDF upload with AI-powered OCR text extraction</w:t>
      </w:r>
    </w:p>
    <w:p>
      <w:pPr>
        <w:pStyle w:val="ListParagraph"/>
        <w:numPr>
          <w:ilvl w:val="0"/>
          <w:numId w:val="2"/>
        </w:numPr>
        <w:spacing w:after="60"/>
      </w:pPr>
      <w:r>
        <w:rPr>
          <w:rFonts w:ascii="Arial" w:cs="Arial" w:eastAsia="Arial" w:hAnsi="Arial"/>
          <w:color w:val="1A1A1A"/>
          <w:sz w:val="20"/>
          <w:szCs w:val="20"/>
        </w:rPr>
        <w:t xml:space="preserve">Automatic notice type detection and categorization</w:t>
      </w:r>
    </w:p>
    <w:p>
      <w:pPr>
        <w:pStyle w:val="ListParagraph"/>
        <w:numPr>
          <w:ilvl w:val="0"/>
          <w:numId w:val="2"/>
        </w:numPr>
        <w:spacing w:after="60"/>
      </w:pPr>
      <w:r>
        <w:rPr>
          <w:rFonts w:ascii="Arial" w:cs="Arial" w:eastAsia="Arial" w:hAnsi="Arial"/>
          <w:color w:val="1A1A1A"/>
          <w:sz w:val="20"/>
          <w:szCs w:val="20"/>
        </w:rPr>
        <w:t xml:space="preserve">Key data extraction: notice number, date, penalty amount, deadline</w:t>
      </w:r>
    </w:p>
    <w:p>
      <w:pPr>
        <w:pStyle w:val="ListParagraph"/>
        <w:numPr>
          <w:ilvl w:val="0"/>
          <w:numId w:val="2"/>
        </w:numPr>
        <w:spacing w:after="60"/>
      </w:pPr>
      <w:r>
        <w:rPr>
          <w:rFonts w:ascii="Arial" w:cs="Arial" w:eastAsia="Arial" w:hAnsi="Arial"/>
          <w:color w:val="1A1A1A"/>
          <w:sz w:val="20"/>
          <w:szCs w:val="20"/>
        </w:rPr>
        <w:t xml:space="preserve">Multi-agency support (IRS, state, local tax authorities)</w:t>
      </w:r>
    </w:p>
    <w:p>
      <w:pPr>
        <w:pStyle w:val="ListParagraph"/>
        <w:numPr>
          <w:ilvl w:val="0"/>
          <w:numId w:val="2"/>
        </w:numPr>
        <w:spacing w:after="60"/>
      </w:pPr>
      <w:r>
        <w:rPr>
          <w:rFonts w:ascii="Arial" w:cs="Arial" w:eastAsia="Arial" w:hAnsi="Arial"/>
          <w:color w:val="1A1A1A"/>
          <w:sz w:val="20"/>
          <w:szCs w:val="20"/>
        </w:rPr>
        <w:t xml:space="preserve">Response deadline calculation and tracking</w:t>
      </w:r>
    </w:p>
    <w:p>
      <w:pPr>
        <w:pStyle w:val="Heading2"/>
        <w:spacing w:before="280" w:after="160"/>
      </w:pPr>
      <w:r>
        <w:rPr>
          <w:rFonts w:ascii="Arial" w:cs="Arial" w:eastAsia="Arial" w:hAnsi="Arial"/>
          <w:b/>
          <w:bCs/>
          <w:color w:val="2E75B6"/>
          <w:sz w:val="26"/>
          <w:szCs w:val="26"/>
        </w:rPr>
        <w:t xml:space="preserve">3. IRS Transcript Decoding</w:t>
      </w:r>
    </w:p>
    <w:p>
      <w:pPr>
        <w:pStyle w:val="ListParagraph"/>
        <w:numPr>
          <w:ilvl w:val="0"/>
          <w:numId w:val="2"/>
        </w:numPr>
        <w:spacing w:after="60"/>
      </w:pPr>
      <w:r>
        <w:rPr>
          <w:rFonts w:ascii="Arial" w:cs="Arial" w:eastAsia="Arial" w:hAnsi="Arial"/>
          <w:color w:val="1A1A1A"/>
          <w:sz w:val="20"/>
          <w:szCs w:val="20"/>
        </w:rPr>
        <w:t xml:space="preserve">Transaction code extraction and plain-English translation</w:t>
      </w:r>
    </w:p>
    <w:p>
      <w:pPr>
        <w:pStyle w:val="ListParagraph"/>
        <w:numPr>
          <w:ilvl w:val="0"/>
          <w:numId w:val="2"/>
        </w:numPr>
        <w:spacing w:after="60"/>
      </w:pPr>
      <w:r>
        <w:rPr>
          <w:rFonts w:ascii="Arial" w:cs="Arial" w:eastAsia="Arial" w:hAnsi="Arial"/>
          <w:color w:val="1A1A1A"/>
          <w:sz w:val="20"/>
          <w:szCs w:val="20"/>
        </w:rPr>
        <w:t xml:space="preserve">Timeline generation from transcript history</w:t>
      </w:r>
    </w:p>
    <w:p>
      <w:pPr>
        <w:pStyle w:val="ListParagraph"/>
        <w:numPr>
          <w:ilvl w:val="0"/>
          <w:numId w:val="2"/>
        </w:numPr>
        <w:spacing w:after="60"/>
      </w:pPr>
      <w:r>
        <w:rPr>
          <w:rFonts w:ascii="Arial" w:cs="Arial" w:eastAsia="Arial" w:hAnsi="Arial"/>
          <w:color w:val="1A1A1A"/>
          <w:sz w:val="20"/>
          <w:szCs w:val="20"/>
        </w:rPr>
        <w:t xml:space="preserve">Critical issue flagging (holds, liens, audit examinations)</w:t>
      </w:r>
    </w:p>
    <w:p>
      <w:pPr>
        <w:pStyle w:val="ListParagraph"/>
        <w:numPr>
          <w:ilvl w:val="0"/>
          <w:numId w:val="2"/>
        </w:numPr>
        <w:spacing w:after="60"/>
      </w:pPr>
      <w:r>
        <w:rPr>
          <w:rFonts w:ascii="Arial" w:cs="Arial" w:eastAsia="Arial" w:hAnsi="Arial"/>
          <w:color w:val="1A1A1A"/>
          <w:sz w:val="20"/>
          <w:szCs w:val="20"/>
        </w:rPr>
        <w:t xml:space="preserve">Severity assessment with recommended next actions</w:t>
      </w:r>
    </w:p>
    <w:p>
      <w:pPr>
        <w:pStyle w:val="ListParagraph"/>
        <w:numPr>
          <w:ilvl w:val="0"/>
          <w:numId w:val="2"/>
        </w:numPr>
        <w:spacing w:after="60"/>
      </w:pPr>
      <w:r>
        <w:rPr>
          <w:rFonts w:ascii="Arial" w:cs="Arial" w:eastAsia="Arial" w:hAnsi="Arial"/>
          <w:color w:val="1A1A1A"/>
          <w:sz w:val="20"/>
          <w:szCs w:val="20"/>
        </w:rPr>
        <w:t xml:space="preserve">Client-friendly report generation as downloadable PDF</w:t>
      </w:r>
    </w:p>
    <w:p>
      <w:pPr>
        <w:pStyle w:val="Heading2"/>
        <w:spacing w:before="280" w:after="160"/>
      </w:pPr>
      <w:r>
        <w:rPr>
          <w:rFonts w:ascii="Arial" w:cs="Arial" w:eastAsia="Arial" w:hAnsi="Arial"/>
          <w:b/>
          <w:bCs/>
          <w:color w:val="2E75B6"/>
          <w:sz w:val="26"/>
          <w:szCs w:val="26"/>
        </w:rPr>
        <w:t xml:space="preserve">4. Document Generation</w:t>
      </w:r>
    </w:p>
    <w:p>
      <w:pPr>
        <w:pStyle w:val="ListParagraph"/>
        <w:numPr>
          <w:ilvl w:val="0"/>
          <w:numId w:val="2"/>
        </w:numPr>
        <w:spacing w:after="60"/>
      </w:pPr>
      <w:r>
        <w:rPr>
          <w:rFonts w:ascii="Arial" w:cs="Arial" w:eastAsia="Arial" w:hAnsi="Arial"/>
          <w:color w:val="1A1A1A"/>
          <w:sz w:val="20"/>
          <w:szCs w:val="20"/>
        </w:rPr>
        <w:t xml:space="preserve">First-Time Abatement (FTA) penalty relief letters</w:t>
      </w:r>
    </w:p>
    <w:p>
      <w:pPr>
        <w:pStyle w:val="ListParagraph"/>
        <w:numPr>
          <w:ilvl w:val="0"/>
          <w:numId w:val="2"/>
        </w:numPr>
        <w:spacing w:after="60"/>
      </w:pPr>
      <w:r>
        <w:rPr>
          <w:rFonts w:ascii="Arial" w:cs="Arial" w:eastAsia="Arial" w:hAnsi="Arial"/>
          <w:color w:val="1A1A1A"/>
          <w:sz w:val="20"/>
          <w:szCs w:val="20"/>
        </w:rPr>
        <w:t xml:space="preserve">Reasonable Cause penalty abatement letters</w:t>
      </w:r>
    </w:p>
    <w:p>
      <w:pPr>
        <w:pStyle w:val="ListParagraph"/>
        <w:numPr>
          <w:ilvl w:val="0"/>
          <w:numId w:val="2"/>
        </w:numPr>
        <w:spacing w:after="60"/>
      </w:pPr>
      <w:r>
        <w:rPr>
          <w:rFonts w:ascii="Arial" w:cs="Arial" w:eastAsia="Arial" w:hAnsi="Arial"/>
          <w:color w:val="1A1A1A"/>
          <w:sz w:val="20"/>
          <w:szCs w:val="20"/>
        </w:rPr>
        <w:t xml:space="preserve">Audit Reconsideration request letters</w:t>
      </w:r>
    </w:p>
    <w:p>
      <w:pPr>
        <w:pStyle w:val="ListParagraph"/>
        <w:numPr>
          <w:ilvl w:val="0"/>
          <w:numId w:val="2"/>
        </w:numPr>
        <w:spacing w:after="60"/>
      </w:pPr>
      <w:r>
        <w:rPr>
          <w:rFonts w:ascii="Arial" w:cs="Arial" w:eastAsia="Arial" w:hAnsi="Arial"/>
          <w:color w:val="1A1A1A"/>
          <w:sz w:val="20"/>
          <w:szCs w:val="20"/>
        </w:rPr>
        <w:t xml:space="preserve">IRS Form 2848 (Power of Attorney) pre-filled generation</w:t>
      </w:r>
    </w:p>
    <w:p>
      <w:pPr>
        <w:pStyle w:val="ListParagraph"/>
        <w:numPr>
          <w:ilvl w:val="0"/>
          <w:numId w:val="2"/>
        </w:numPr>
        <w:spacing w:after="60"/>
      </w:pPr>
      <w:r>
        <w:rPr>
          <w:rFonts w:ascii="Arial" w:cs="Arial" w:eastAsia="Arial" w:hAnsi="Arial"/>
          <w:color w:val="1A1A1A"/>
          <w:sz w:val="20"/>
          <w:szCs w:val="20"/>
        </w:rPr>
        <w:t xml:space="preserve">Risk scorecard PDFs for batch scan results</w:t>
      </w:r>
    </w:p>
    <w:p>
      <w:pPr>
        <w:pStyle w:val="Heading2"/>
        <w:spacing w:before="280" w:after="160"/>
      </w:pPr>
      <w:r>
        <w:rPr>
          <w:rFonts w:ascii="Arial" w:cs="Arial" w:eastAsia="Arial" w:hAnsi="Arial"/>
          <w:b/>
          <w:bCs/>
          <w:color w:val="2E75B6"/>
          <w:sz w:val="26"/>
          <w:szCs w:val="26"/>
        </w:rPr>
        <w:t xml:space="preserve">5. Case Management System</w:t>
      </w:r>
    </w:p>
    <w:p>
      <w:pPr>
        <w:pStyle w:val="ListParagraph"/>
        <w:numPr>
          <w:ilvl w:val="0"/>
          <w:numId w:val="2"/>
        </w:numPr>
        <w:spacing w:after="60"/>
      </w:pPr>
      <w:r>
        <w:rPr>
          <w:rFonts w:ascii="Arial" w:cs="Arial" w:eastAsia="Arial" w:hAnsi="Arial"/>
          <w:color w:val="1A1A1A"/>
          <w:sz w:val="20"/>
          <w:szCs w:val="20"/>
        </w:rPr>
        <w:t xml:space="preserve">Multi-status workflow: triage, agent_action, client_action, resolved</w:t>
      </w:r>
    </w:p>
    <w:p>
      <w:pPr>
        <w:pStyle w:val="ListParagraph"/>
        <w:numPr>
          <w:ilvl w:val="0"/>
          <w:numId w:val="2"/>
        </w:numPr>
        <w:spacing w:after="60"/>
      </w:pPr>
      <w:r>
        <w:rPr>
          <w:rFonts w:ascii="Arial" w:cs="Arial" w:eastAsia="Arial" w:hAnsi="Arial"/>
          <w:color w:val="1A1A1A"/>
          <w:sz w:val="20"/>
          <w:szCs w:val="20"/>
        </w:rPr>
        <w:t xml:space="preserve">Agent case queue with assignment and claim functionality</w:t>
      </w:r>
    </w:p>
    <w:p>
      <w:pPr>
        <w:pStyle w:val="ListParagraph"/>
        <w:numPr>
          <w:ilvl w:val="0"/>
          <w:numId w:val="2"/>
        </w:numPr>
        <w:spacing w:after="60"/>
      </w:pPr>
      <w:r>
        <w:rPr>
          <w:rFonts w:ascii="Arial" w:cs="Arial" w:eastAsia="Arial" w:hAnsi="Arial"/>
          <w:color w:val="1A1A1A"/>
          <w:sz w:val="20"/>
          <w:szCs w:val="20"/>
        </w:rPr>
        <w:t xml:space="preserve">Client-agent messaging with notification alerts</w:t>
      </w:r>
    </w:p>
    <w:p>
      <w:pPr>
        <w:pStyle w:val="ListParagraph"/>
        <w:numPr>
          <w:ilvl w:val="0"/>
          <w:numId w:val="2"/>
        </w:numPr>
        <w:spacing w:after="60"/>
      </w:pPr>
      <w:r>
        <w:rPr>
          <w:rFonts w:ascii="Arial" w:cs="Arial" w:eastAsia="Arial" w:hAnsi="Arial"/>
          <w:color w:val="1A1A1A"/>
          <w:sz w:val="20"/>
          <w:szCs w:val="20"/>
        </w:rPr>
        <w:t xml:space="preserve">Document request creation, tracking, and rejection workflows</w:t>
      </w:r>
    </w:p>
    <w:p>
      <w:pPr>
        <w:pStyle w:val="ListParagraph"/>
        <w:numPr>
          <w:ilvl w:val="0"/>
          <w:numId w:val="2"/>
        </w:numPr>
        <w:spacing w:after="60"/>
      </w:pPr>
      <w:r>
        <w:rPr>
          <w:rFonts w:ascii="Arial" w:cs="Arial" w:eastAsia="Arial" w:hAnsi="Arial"/>
          <w:color w:val="1A1A1A"/>
          <w:sz w:val="20"/>
          <w:szCs w:val="20"/>
        </w:rPr>
        <w:t xml:space="preserve">Case notes, timeline history, and status change audit trail</w:t>
      </w:r>
    </w:p>
    <w:p>
      <w:pPr>
        <w:pStyle w:val="ListParagraph"/>
        <w:numPr>
          <w:ilvl w:val="0"/>
          <w:numId w:val="2"/>
        </w:numPr>
        <w:spacing w:after="60"/>
      </w:pPr>
      <w:r>
        <w:rPr>
          <w:rFonts w:ascii="Arial" w:cs="Arial" w:eastAsia="Arial" w:hAnsi="Arial"/>
          <w:color w:val="1A1A1A"/>
          <w:sz w:val="20"/>
          <w:szCs w:val="20"/>
        </w:rPr>
        <w:t xml:space="preserve">AI-powered response drafting assistant</w:t>
      </w:r>
    </w:p>
    <w:p>
      <w:pPr>
        <w:pStyle w:val="Heading2"/>
        <w:spacing w:before="280" w:after="160"/>
      </w:pPr>
      <w:r>
        <w:rPr>
          <w:rFonts w:ascii="Arial" w:cs="Arial" w:eastAsia="Arial" w:hAnsi="Arial"/>
          <w:b/>
          <w:bCs/>
          <w:color w:val="2E75B6"/>
          <w:sz w:val="26"/>
          <w:szCs w:val="26"/>
        </w:rPr>
        <w:t xml:space="preserve">6. Subscription &amp; Billing</w:t>
      </w:r>
    </w:p>
    <w:p>
      <w:pPr>
        <w:pStyle w:val="ListParagraph"/>
        <w:numPr>
          <w:ilvl w:val="0"/>
          <w:numId w:val="2"/>
        </w:numPr>
        <w:spacing w:after="60"/>
      </w:pPr>
      <w:r>
        <w:rPr>
          <w:rFonts w:ascii="Arial" w:cs="Arial" w:eastAsia="Arial" w:hAnsi="Arial"/>
          <w:color w:val="1A1A1A"/>
          <w:sz w:val="20"/>
          <w:szCs w:val="20"/>
        </w:rPr>
        <w:t xml:space="preserve">Stripe integration with checkout session creation</w:t>
      </w:r>
    </w:p>
    <w:p>
      <w:pPr>
        <w:pStyle w:val="ListParagraph"/>
        <w:numPr>
          <w:ilvl w:val="0"/>
          <w:numId w:val="2"/>
        </w:numPr>
        <w:spacing w:after="60"/>
      </w:pPr>
      <w:r>
        <w:rPr>
          <w:rFonts w:ascii="Arial" w:cs="Arial" w:eastAsia="Arial" w:hAnsi="Arial"/>
          <w:color w:val="1A1A1A"/>
          <w:sz w:val="20"/>
          <w:szCs w:val="20"/>
        </w:rPr>
        <w:t xml:space="preserve">Multiple plan tiers: Individual, Business, Retroactive coverage</w:t>
      </w:r>
    </w:p>
    <w:p>
      <w:pPr>
        <w:pStyle w:val="ListParagraph"/>
        <w:numPr>
          <w:ilvl w:val="0"/>
          <w:numId w:val="2"/>
        </w:numPr>
        <w:spacing w:after="60"/>
      </w:pPr>
      <w:r>
        <w:rPr>
          <w:rFonts w:ascii="Arial" w:cs="Arial" w:eastAsia="Arial" w:hAnsi="Arial"/>
          <w:color w:val="1A1A1A"/>
          <w:sz w:val="20"/>
          <w:szCs w:val="20"/>
        </w:rPr>
        <w:t xml:space="preserve">Customer portal for self-service subscription management</w:t>
      </w:r>
    </w:p>
    <w:p>
      <w:pPr>
        <w:pStyle w:val="ListParagraph"/>
        <w:numPr>
          <w:ilvl w:val="0"/>
          <w:numId w:val="2"/>
        </w:numPr>
        <w:spacing w:after="60"/>
      </w:pPr>
      <w:r>
        <w:rPr>
          <w:rFonts w:ascii="Arial" w:cs="Arial" w:eastAsia="Arial" w:hAnsi="Arial"/>
          <w:color w:val="1A1A1A"/>
          <w:sz w:val="20"/>
          <w:szCs w:val="20"/>
        </w:rPr>
        <w:t xml:space="preserve">Automated plan activation via webhook processing</w:t>
      </w:r>
    </w:p>
    <w:p>
      <w:pPr>
        <w:pStyle w:val="ListParagraph"/>
        <w:numPr>
          <w:ilvl w:val="0"/>
          <w:numId w:val="2"/>
        </w:numPr>
        <w:spacing w:after="60"/>
      </w:pPr>
      <w:r>
        <w:rPr>
          <w:rFonts w:ascii="Arial" w:cs="Arial" w:eastAsia="Arial" w:hAnsi="Arial"/>
          <w:color w:val="1A1A1A"/>
          <w:sz w:val="20"/>
          <w:szCs w:val="20"/>
        </w:rPr>
        <w:t xml:space="preserve">Referral code tracking through checkout flow</w:t>
      </w:r>
    </w:p>
    <w:p>
      <w:pPr>
        <w:pStyle w:val="Heading2"/>
        <w:spacing w:before="280" w:after="160"/>
      </w:pPr>
      <w:r>
        <w:rPr>
          <w:rFonts w:ascii="Arial" w:cs="Arial" w:eastAsia="Arial" w:hAnsi="Arial"/>
          <w:b/>
          <w:bCs/>
          <w:color w:val="2E75B6"/>
          <w:sz w:val="26"/>
          <w:szCs w:val="26"/>
        </w:rPr>
        <w:t xml:space="preserve">7. Multi-Stakeholder Platform</w:t>
      </w:r>
    </w:p>
    <w:p>
      <w:pPr>
        <w:pStyle w:val="ListParagraph"/>
        <w:numPr>
          <w:ilvl w:val="0"/>
          <w:numId w:val="2"/>
        </w:numPr>
        <w:spacing w:after="60"/>
      </w:pPr>
      <w:r>
        <w:rPr>
          <w:rFonts w:ascii="Arial" w:cs="Arial" w:eastAsia="Arial" w:hAnsi="Arial"/>
          <w:color w:val="1A1A1A"/>
          <w:sz w:val="20"/>
          <w:szCs w:val="20"/>
        </w:rPr>
        <w:t xml:space="preserve">Role-based access: client, enrolled_agent, tax_preparer, admin</w:t>
      </w:r>
    </w:p>
    <w:p>
      <w:pPr>
        <w:pStyle w:val="ListParagraph"/>
        <w:numPr>
          <w:ilvl w:val="0"/>
          <w:numId w:val="2"/>
        </w:numPr>
        <w:spacing w:after="60"/>
      </w:pPr>
      <w:r>
        <w:rPr>
          <w:rFonts w:ascii="Arial" w:cs="Arial" w:eastAsia="Arial" w:hAnsi="Arial"/>
          <w:color w:val="1A1A1A"/>
          <w:sz w:val="20"/>
          <w:szCs w:val="20"/>
        </w:rPr>
        <w:t xml:space="preserve">Partner program with application form and onboarding</w:t>
      </w:r>
    </w:p>
    <w:p>
      <w:pPr>
        <w:pStyle w:val="ListParagraph"/>
        <w:numPr>
          <w:ilvl w:val="0"/>
          <w:numId w:val="2"/>
        </w:numPr>
        <w:spacing w:after="60"/>
      </w:pPr>
      <w:r>
        <w:rPr>
          <w:rFonts w:ascii="Arial" w:cs="Arial" w:eastAsia="Arial" w:hAnsi="Arial"/>
          <w:color w:val="1A1A1A"/>
          <w:sz w:val="20"/>
          <w:szCs w:val="20"/>
        </w:rPr>
        <w:t xml:space="preserve">Affiliate program with commission tracking (20% default rate)</w:t>
      </w:r>
    </w:p>
    <w:p>
      <w:pPr>
        <w:pStyle w:val="ListParagraph"/>
        <w:numPr>
          <w:ilvl w:val="0"/>
          <w:numId w:val="2"/>
        </w:numPr>
        <w:spacing w:after="60"/>
      </w:pPr>
      <w:r>
        <w:rPr>
          <w:rFonts w:ascii="Arial" w:cs="Arial" w:eastAsia="Arial" w:hAnsi="Arial"/>
          <w:color w:val="1A1A1A"/>
          <w:sz w:val="20"/>
          <w:szCs w:val="20"/>
        </w:rPr>
        <w:t xml:space="preserve">Referral network dashboard with earnings projections</w:t>
      </w:r>
    </w:p>
    <w:p>
      <w:pPr>
        <w:pStyle w:val="ListParagraph"/>
        <w:numPr>
          <w:ilvl w:val="0"/>
          <w:numId w:val="2"/>
        </w:numPr>
        <w:spacing w:after="60"/>
      </w:pPr>
      <w:r>
        <w:rPr>
          <w:rFonts w:ascii="Arial" w:cs="Arial" w:eastAsia="Arial" w:hAnsi="Arial"/>
          <w:color w:val="1A1A1A"/>
          <w:sz w:val="20"/>
          <w:szCs w:val="20"/>
        </w:rPr>
        <w:t xml:space="preserve">Bulk client enrollment via CSV upload and activation codes</w:t>
      </w:r>
    </w:p>
    <w:p>
      <w:pPr>
        <w:pStyle w:val="ListParagraph"/>
        <w:numPr>
          <w:ilvl w:val="0"/>
          <w:numId w:val="2"/>
        </w:numPr>
        <w:spacing w:after="60"/>
      </w:pPr>
      <w:r>
        <w:rPr>
          <w:rFonts w:ascii="Arial" w:cs="Arial" w:eastAsia="Arial" w:hAnsi="Arial"/>
          <w:color w:val="1A1A1A"/>
          <w:sz w:val="20"/>
          <w:szCs w:val="20"/>
        </w:rPr>
        <w:t xml:space="preserve">White-label branding per firm (logo, colors, firm name)</w:t>
      </w:r>
    </w:p>
    <w:p>
      <w:pPr>
        <w:pStyle w:val="Heading2"/>
        <w:spacing w:before="280" w:after="160"/>
      </w:pPr>
      <w:r>
        <w:rPr>
          <w:rFonts w:ascii="Arial" w:cs="Arial" w:eastAsia="Arial" w:hAnsi="Arial"/>
          <w:b/>
          <w:bCs/>
          <w:color w:val="2E75B6"/>
          <w:sz w:val="26"/>
          <w:szCs w:val="26"/>
        </w:rPr>
        <w:t xml:space="preserve">8. Communication &amp; Notifications</w:t>
      </w:r>
    </w:p>
    <w:p>
      <w:pPr>
        <w:pStyle w:val="ListParagraph"/>
        <w:numPr>
          <w:ilvl w:val="0"/>
          <w:numId w:val="2"/>
        </w:numPr>
        <w:spacing w:after="60"/>
      </w:pPr>
      <w:r>
        <w:rPr>
          <w:rFonts w:ascii="Arial" w:cs="Arial" w:eastAsia="Arial" w:hAnsi="Arial"/>
          <w:color w:val="1A1A1A"/>
          <w:sz w:val="20"/>
          <w:szCs w:val="20"/>
        </w:rPr>
        <w:t xml:space="preserve">In-app notification center with bell indicator</w:t>
      </w:r>
    </w:p>
    <w:p>
      <w:pPr>
        <w:pStyle w:val="ListParagraph"/>
        <w:numPr>
          <w:ilvl w:val="0"/>
          <w:numId w:val="2"/>
        </w:numPr>
        <w:spacing w:after="60"/>
      </w:pPr>
      <w:r>
        <w:rPr>
          <w:rFonts w:ascii="Arial" w:cs="Arial" w:eastAsia="Arial" w:hAnsi="Arial"/>
          <w:color w:val="1A1A1A"/>
          <w:sz w:val="20"/>
          <w:szCs w:val="20"/>
        </w:rPr>
        <w:t xml:space="preserve">Email notifications: welcome, reminders, status updates, document requests</w:t>
      </w:r>
    </w:p>
    <w:p>
      <w:pPr>
        <w:pStyle w:val="ListParagraph"/>
        <w:numPr>
          <w:ilvl w:val="0"/>
          <w:numId w:val="2"/>
        </w:numPr>
        <w:spacing w:after="60"/>
      </w:pPr>
      <w:r>
        <w:rPr>
          <w:rFonts w:ascii="Arial" w:cs="Arial" w:eastAsia="Arial" w:hAnsi="Arial"/>
          <w:color w:val="1A1A1A"/>
          <w:sz w:val="20"/>
          <w:szCs w:val="20"/>
        </w:rPr>
        <w:t xml:space="preserve">Deadline reminder system for upcoming case actions</w:t>
      </w:r>
    </w:p>
    <w:p>
      <w:pPr>
        <w:pStyle w:val="ListParagraph"/>
        <w:numPr>
          <w:ilvl w:val="0"/>
          <w:numId w:val="2"/>
        </w:numPr>
        <w:spacing w:after="60"/>
      </w:pPr>
      <w:r>
        <w:rPr>
          <w:rFonts w:ascii="Arial" w:cs="Arial" w:eastAsia="Arial" w:hAnsi="Arial"/>
          <w:color w:val="1A1A1A"/>
          <w:sz w:val="20"/>
          <w:szCs w:val="20"/>
        </w:rPr>
        <w:t xml:space="preserve">Client document upload notifications to agents</w:t>
      </w:r>
    </w:p>
    <w:p>
      <w:pPr>
        <w:pStyle w:val="Heading2"/>
        <w:spacing w:before="280" w:after="160"/>
      </w:pPr>
      <w:r>
        <w:rPr>
          <w:rFonts w:ascii="Arial" w:cs="Arial" w:eastAsia="Arial" w:hAnsi="Arial"/>
          <w:b/>
          <w:bCs/>
          <w:color w:val="2E75B6"/>
          <w:sz w:val="26"/>
          <w:szCs w:val="26"/>
        </w:rPr>
        <w:t xml:space="preserve">9. Analytics &amp; Compliance</w:t>
      </w:r>
    </w:p>
    <w:p>
      <w:pPr>
        <w:pStyle w:val="ListParagraph"/>
        <w:numPr>
          <w:ilvl w:val="0"/>
          <w:numId w:val="2"/>
        </w:numPr>
        <w:spacing w:after="60"/>
      </w:pPr>
      <w:r>
        <w:rPr>
          <w:rFonts w:ascii="Arial" w:cs="Arial" w:eastAsia="Arial" w:hAnsi="Arial"/>
          <w:color w:val="1A1A1A"/>
          <w:sz w:val="20"/>
          <w:szCs w:val="20"/>
        </w:rPr>
        <w:t xml:space="preserve">Dashboard analytics with case volume and resolution metrics</w:t>
      </w:r>
    </w:p>
    <w:p>
      <w:pPr>
        <w:pStyle w:val="ListParagraph"/>
        <w:numPr>
          <w:ilvl w:val="0"/>
          <w:numId w:val="2"/>
        </w:numPr>
        <w:spacing w:after="60"/>
      </w:pPr>
      <w:r>
        <w:rPr>
          <w:rFonts w:ascii="Arial" w:cs="Arial" w:eastAsia="Arial" w:hAnsi="Arial"/>
          <w:color w:val="1A1A1A"/>
          <w:sz w:val="20"/>
          <w:szCs w:val="20"/>
        </w:rPr>
        <w:t xml:space="preserve">Affiliate performance charts with revenue tracking</w:t>
      </w:r>
    </w:p>
    <w:p>
      <w:pPr>
        <w:pStyle w:val="ListParagraph"/>
        <w:numPr>
          <w:ilvl w:val="0"/>
          <w:numId w:val="2"/>
        </w:numPr>
        <w:spacing w:after="60"/>
      </w:pPr>
      <w:r>
        <w:rPr>
          <w:rFonts w:ascii="Arial" w:cs="Arial" w:eastAsia="Arial" w:hAnsi="Arial"/>
          <w:color w:val="1A1A1A"/>
          <w:sz w:val="20"/>
          <w:szCs w:val="20"/>
        </w:rPr>
        <w:t xml:space="preserve">Compliance review tools for corporate tax obligations</w:t>
      </w:r>
    </w:p>
    <w:p>
      <w:pPr>
        <w:pStyle w:val="ListParagraph"/>
        <w:numPr>
          <w:ilvl w:val="0"/>
          <w:numId w:val="2"/>
        </w:numPr>
        <w:spacing w:after="60"/>
      </w:pPr>
      <w:r>
        <w:rPr>
          <w:rFonts w:ascii="Arial" w:cs="Arial" w:eastAsia="Arial" w:hAnsi="Arial"/>
          <w:color w:val="1A1A1A"/>
          <w:sz w:val="20"/>
          <w:szCs w:val="20"/>
        </w:rPr>
        <w:t xml:space="preserve">AI model configuration admin panel</w:t>
      </w:r>
    </w:p>
    <w:p>
      <w:pPr>
        <w:pStyle w:val="ListParagraph"/>
        <w:numPr>
          <w:ilvl w:val="0"/>
          <w:numId w:val="2"/>
        </w:numPr>
        <w:spacing w:after="60"/>
      </w:pPr>
      <w:r>
        <w:rPr>
          <w:rFonts w:ascii="Arial" w:cs="Arial" w:eastAsia="Arial" w:hAnsi="Arial"/>
          <w:color w:val="1A1A1A"/>
          <w:sz w:val="20"/>
          <w:szCs w:val="20"/>
        </w:rPr>
        <w:t xml:space="preserve">Security event logging system</w:t>
      </w:r>
    </w:p>
    <w:p>
      <w:pPr>
        <w:pStyle w:val="Heading2"/>
        <w:spacing w:before="280" w:after="160"/>
      </w:pPr>
      <w:r>
        <w:rPr>
          <w:rFonts w:ascii="Arial" w:cs="Arial" w:eastAsia="Arial" w:hAnsi="Arial"/>
          <w:b/>
          <w:bCs/>
          <w:color w:val="2E75B6"/>
          <w:sz w:val="26"/>
          <w:szCs w:val="26"/>
        </w:rPr>
        <w:t xml:space="preserve">10. Internationalization &amp; UX</w:t>
      </w:r>
    </w:p>
    <w:p>
      <w:pPr>
        <w:pStyle w:val="ListParagraph"/>
        <w:numPr>
          <w:ilvl w:val="0"/>
          <w:numId w:val="2"/>
        </w:numPr>
        <w:spacing w:after="60"/>
      </w:pPr>
      <w:r>
        <w:rPr>
          <w:rFonts w:ascii="Arial" w:cs="Arial" w:eastAsia="Arial" w:hAnsi="Arial"/>
          <w:color w:val="1A1A1A"/>
          <w:sz w:val="20"/>
          <w:szCs w:val="20"/>
        </w:rPr>
        <w:t xml:space="preserve">English and Spanish language support via i18next</w:t>
      </w:r>
    </w:p>
    <w:p>
      <w:pPr>
        <w:pStyle w:val="ListParagraph"/>
        <w:numPr>
          <w:ilvl w:val="0"/>
          <w:numId w:val="2"/>
        </w:numPr>
        <w:spacing w:after="60"/>
      </w:pPr>
      <w:r>
        <w:rPr>
          <w:rFonts w:ascii="Arial" w:cs="Arial" w:eastAsia="Arial" w:hAnsi="Arial"/>
          <w:color w:val="1A1A1A"/>
          <w:sz w:val="20"/>
          <w:szCs w:val="20"/>
        </w:rPr>
        <w:t xml:space="preserve">Responsive design with mobile detection</w:t>
      </w:r>
    </w:p>
    <w:p>
      <w:pPr>
        <w:pStyle w:val="ListParagraph"/>
        <w:numPr>
          <w:ilvl w:val="0"/>
          <w:numId w:val="2"/>
        </w:numPr>
        <w:spacing w:after="60"/>
      </w:pPr>
      <w:r>
        <w:rPr>
          <w:rFonts w:ascii="Arial" w:cs="Arial" w:eastAsia="Arial" w:hAnsi="Arial"/>
          <w:color w:val="1A1A1A"/>
          <w:sz w:val="20"/>
          <w:szCs w:val="20"/>
        </w:rPr>
        <w:t xml:space="preserve">Dark mode support via next-themes</w:t>
      </w:r>
    </w:p>
    <w:p>
      <w:pPr>
        <w:pStyle w:val="ListParagraph"/>
        <w:numPr>
          <w:ilvl w:val="0"/>
          <w:numId w:val="2"/>
        </w:numPr>
        <w:spacing w:after="60"/>
      </w:pPr>
      <w:r>
        <w:rPr>
          <w:rFonts w:ascii="Arial" w:cs="Arial" w:eastAsia="Arial" w:hAnsi="Arial"/>
          <w:color w:val="1A1A1A"/>
          <w:sz w:val="20"/>
          <w:szCs w:val="20"/>
        </w:rPr>
        <w:t xml:space="preserve">Educational content: blog, tax tips, IRS process guides</w:t>
      </w:r>
    </w:p>
    <w:p>
      <w:pPr>
        <w:pStyle w:val="ListParagraph"/>
        <w:numPr>
          <w:ilvl w:val="0"/>
          <w:numId w:val="2"/>
        </w:numPr>
        <w:spacing w:after="60"/>
      </w:pPr>
      <w:r>
        <w:rPr>
          <w:rFonts w:ascii="Arial" w:cs="Arial" w:eastAsia="Arial" w:hAnsi="Arial"/>
          <w:color w:val="1A1A1A"/>
          <w:sz w:val="20"/>
          <w:szCs w:val="20"/>
        </w:rPr>
        <w:t xml:space="preserve">Onboarding wizard for new users</w:t>
      </w:r>
    </w:p>
    <w:p>
      <w:r>
        <w:br w:type="page"/>
      </w:r>
    </w:p>
    <w:p>
      <w:pPr>
        <w:pStyle w:val="Heading1"/>
        <w:spacing w:before="360" w:after="200"/>
      </w:pPr>
      <w:r>
        <w:rPr>
          <w:rFonts w:ascii="Arial" w:cs="Arial" w:eastAsia="Arial" w:hAnsi="Arial"/>
          <w:b/>
          <w:bCs/>
          <w:color w:val="1B3A5C"/>
          <w:sz w:val="32"/>
          <w:szCs w:val="32"/>
        </w:rPr>
        <w:t xml:space="preserve">Part 3: Improvement Recommendations</w:t>
      </w:r>
    </w:p>
    <w:p>
      <w:pPr>
        <w:spacing w:after="120"/>
      </w:pPr>
      <w:r>
        <w:rPr>
          <w:rFonts w:ascii="Arial" w:cs="Arial" w:eastAsia="Arial" w:hAnsi="Arial"/>
          <w:color w:val="1A1A1A"/>
          <w:sz w:val="20"/>
          <w:szCs w:val="20"/>
        </w:rPr>
        <w:t xml:space="preserve">The following 46 recommendations are organized by category and prioritized within each group. Security hardening items should be addressed first given the critical vulnerabilities identified in Part 1.</w:t>
      </w:r>
    </w:p>
    <w:p>
      <w:pPr>
        <w:pStyle w:val="Heading2"/>
        <w:spacing w:before="280" w:after="160"/>
      </w:pPr>
      <w:r>
        <w:rPr>
          <w:rFonts w:ascii="Arial" w:cs="Arial" w:eastAsia="Arial" w:hAnsi="Arial"/>
          <w:b/>
          <w:bCs/>
          <w:color w:val="2E75B6"/>
          <w:sz w:val="26"/>
          <w:szCs w:val="26"/>
        </w:rPr>
        <w:t xml:space="preserve">Security Hardening (Priority 1)</w:t>
      </w:r>
    </w:p>
    <w:p>
      <w:pPr>
        <w:pStyle w:val="ListParagraph"/>
        <w:numPr>
          <w:ilvl w:val="0"/>
          <w:numId w:val="2"/>
        </w:numPr>
        <w:spacing w:after="60"/>
      </w:pPr>
      <w:r>
        <w:rPr>
          <w:rFonts w:ascii="Arial" w:cs="Arial" w:eastAsia="Arial" w:hAnsi="Arial"/>
          <w:color w:val="1A1A1A"/>
          <w:sz w:val="20"/>
          <w:szCs w:val="20"/>
        </w:rPr>
        <w:t xml:space="preserve">Implement a ProtectedRoute wrapper component with role-based guards for all authenticated and admin routes</w:t>
      </w:r>
    </w:p>
    <w:p>
      <w:pPr>
        <w:pStyle w:val="ListParagraph"/>
        <w:numPr>
          <w:ilvl w:val="0"/>
          <w:numId w:val="2"/>
        </w:numPr>
        <w:spacing w:after="60"/>
      </w:pPr>
      <w:r>
        <w:rPr>
          <w:rFonts w:ascii="Arial" w:cs="Arial" w:eastAsia="Arial" w:hAnsi="Arial"/>
          <w:color w:val="1A1A1A"/>
          <w:sz w:val="20"/>
          <w:szCs w:val="20"/>
        </w:rPr>
        <w:t xml:space="preserve">Require STRIPE_WEBHOOK_SECRET in production and fail-closed when unset; verify all webhook signatures</w:t>
      </w:r>
    </w:p>
    <w:p>
      <w:pPr>
        <w:pStyle w:val="ListParagraph"/>
        <w:numPr>
          <w:ilvl w:val="0"/>
          <w:numId w:val="2"/>
        </w:numPr>
        <w:spacing w:after="60"/>
      </w:pPr>
      <w:r>
        <w:rPr>
          <w:rFonts w:ascii="Arial" w:cs="Arial" w:eastAsia="Arial" w:hAnsi="Arial"/>
          <w:color w:val="1A1A1A"/>
          <w:sz w:val="20"/>
          <w:szCs w:val="20"/>
        </w:rPr>
        <w:t xml:space="preserve">Restrict CORS to specific production domains; implement per-user rate limiting with sliding window on all edge functions</w:t>
      </w:r>
    </w:p>
    <w:p>
      <w:pPr>
        <w:pStyle w:val="ListParagraph"/>
        <w:numPr>
          <w:ilvl w:val="0"/>
          <w:numId w:val="2"/>
        </w:numPr>
        <w:spacing w:after="60"/>
      </w:pPr>
      <w:r>
        <w:rPr>
          <w:rFonts w:ascii="Arial" w:cs="Arial" w:eastAsia="Arial" w:hAnsi="Arial"/>
          <w:color w:val="1A1A1A"/>
          <w:sz w:val="20"/>
          <w:szCs w:val="20"/>
        </w:rPr>
        <w:t xml:space="preserve">Add server-side file validation: enforce 10MB size limits, verify PDF magic bytes (%PDF header), scan for embedded threats</w:t>
      </w:r>
    </w:p>
    <w:p>
      <w:pPr>
        <w:pStyle w:val="ListParagraph"/>
        <w:numPr>
          <w:ilvl w:val="0"/>
          <w:numId w:val="2"/>
        </w:numPr>
        <w:spacing w:after="60"/>
      </w:pPr>
      <w:r>
        <w:rPr>
          <w:rFonts w:ascii="Arial" w:cs="Arial" w:eastAsia="Arial" w:hAnsi="Arial"/>
          <w:color w:val="1A1A1A"/>
          <w:sz w:val="20"/>
          <w:szCs w:val="20"/>
        </w:rPr>
        <w:t xml:space="preserve">Implement prompt injection defenses: sanitize and truncate all user inputs before LLM prompts; use structured output schemas</w:t>
      </w:r>
    </w:p>
    <w:p>
      <w:pPr>
        <w:pStyle w:val="ListParagraph"/>
        <w:numPr>
          <w:ilvl w:val="0"/>
          <w:numId w:val="2"/>
        </w:numPr>
        <w:spacing w:after="60"/>
      </w:pPr>
      <w:r>
        <w:rPr>
          <w:rFonts w:ascii="Arial" w:cs="Arial" w:eastAsia="Arial" w:hAnsi="Arial"/>
          <w:color w:val="1A1A1A"/>
          <w:sz w:val="20"/>
          <w:szCs w:val="20"/>
        </w:rPr>
        <w:t xml:space="preserve">Add exponential backoff and account lockout (5 failures / 15 minutes) for authentication and activation code attempts</w:t>
      </w:r>
    </w:p>
    <w:p>
      <w:pPr>
        <w:pStyle w:val="ListParagraph"/>
        <w:numPr>
          <w:ilvl w:val="0"/>
          <w:numId w:val="2"/>
        </w:numPr>
        <w:spacing w:after="60"/>
      </w:pPr>
      <w:r>
        <w:rPr>
          <w:rFonts w:ascii="Arial" w:cs="Arial" w:eastAsia="Arial" w:hAnsi="Arial"/>
          <w:color w:val="1A1A1A"/>
          <w:sz w:val="20"/>
          <w:szCs w:val="20"/>
        </w:rPr>
        <w:t xml:space="preserve">Migrate session storage from localStorage to httpOnly cookies or use Supabase PKCE flow to mitigate XSS token theft</w:t>
      </w:r>
    </w:p>
    <w:p>
      <w:pPr>
        <w:pStyle w:val="ListParagraph"/>
        <w:numPr>
          <w:ilvl w:val="0"/>
          <w:numId w:val="2"/>
        </w:numPr>
        <w:spacing w:after="60"/>
      </w:pPr>
      <w:r>
        <w:rPr>
          <w:rFonts w:ascii="Arial" w:cs="Arial" w:eastAsia="Arial" w:hAnsi="Arial"/>
          <w:color w:val="1A1A1A"/>
          <w:sz w:val="20"/>
          <w:szCs w:val="20"/>
        </w:rPr>
        <w:t xml:space="preserve">Add field-level encryption for PII columns (SSN, addresses, financial data) using AES-256-GCM with key management</w:t>
      </w:r>
    </w:p>
    <w:p>
      <w:pPr>
        <w:pStyle w:val="ListParagraph"/>
        <w:numPr>
          <w:ilvl w:val="0"/>
          <w:numId w:val="2"/>
        </w:numPr>
        <w:spacing w:after="60"/>
      </w:pPr>
      <w:r>
        <w:rPr>
          <w:rFonts w:ascii="Arial" w:cs="Arial" w:eastAsia="Arial" w:hAnsi="Arial"/>
          <w:color w:val="1A1A1A"/>
          <w:sz w:val="20"/>
          <w:szCs w:val="20"/>
        </w:rPr>
        <w:t xml:space="preserve">Verify Stripe checkout metadata server-side by cross-referencing the actual subscription price ID against expected plan pricing</w:t>
      </w:r>
    </w:p>
    <w:p>
      <w:pPr>
        <w:pStyle w:val="ListParagraph"/>
        <w:numPr>
          <w:ilvl w:val="0"/>
          <w:numId w:val="2"/>
        </w:numPr>
        <w:spacing w:after="60"/>
      </w:pPr>
      <w:r>
        <w:rPr>
          <w:rFonts w:ascii="Arial" w:cs="Arial" w:eastAsia="Arial" w:hAnsi="Arial"/>
          <w:color w:val="1A1A1A"/>
          <w:sz w:val="20"/>
          <w:szCs w:val="20"/>
        </w:rPr>
        <w:t xml:space="preserve">Add comprehensive server-side audit logging in all edge functions covering auth events, API calls, payment processing, and failures</w:t>
      </w:r>
    </w:p>
    <w:p>
      <w:pPr>
        <w:pStyle w:val="Heading2"/>
        <w:spacing w:before="280" w:after="160"/>
      </w:pPr>
      <w:r>
        <w:rPr>
          <w:rFonts w:ascii="Arial" w:cs="Arial" w:eastAsia="Arial" w:hAnsi="Arial"/>
          <w:b/>
          <w:bCs/>
          <w:color w:val="2E75B6"/>
          <w:sz w:val="26"/>
          <w:szCs w:val="26"/>
        </w:rPr>
        <w:t xml:space="preserve">Architecture &amp; Performance</w:t>
      </w:r>
    </w:p>
    <w:p>
      <w:pPr>
        <w:pStyle w:val="ListParagraph"/>
        <w:numPr>
          <w:ilvl w:val="0"/>
          <w:numId w:val="2"/>
        </w:numPr>
        <w:spacing w:after="60"/>
      </w:pPr>
      <w:r>
        <w:rPr>
          <w:rFonts w:ascii="Arial" w:cs="Arial" w:eastAsia="Arial" w:hAnsi="Arial"/>
          <w:color w:val="1A1A1A"/>
          <w:sz w:val="20"/>
          <w:szCs w:val="20"/>
        </w:rPr>
        <w:t xml:space="preserve">Implement a middleware layer or API gateway for centralized auth, rate limiting, CORS, and request validation</w:t>
      </w:r>
    </w:p>
    <w:p>
      <w:pPr>
        <w:pStyle w:val="ListParagraph"/>
        <w:numPr>
          <w:ilvl w:val="0"/>
          <w:numId w:val="2"/>
        </w:numPr>
        <w:spacing w:after="60"/>
      </w:pPr>
      <w:r>
        <w:rPr>
          <w:rFonts w:ascii="Arial" w:cs="Arial" w:eastAsia="Arial" w:hAnsi="Arial"/>
          <w:color w:val="1A1A1A"/>
          <w:sz w:val="20"/>
          <w:szCs w:val="20"/>
        </w:rPr>
        <w:t xml:space="preserve">Add AbortController with 30-second timeouts on all external API calls (Lovable AI, Stripe, Resend)</w:t>
      </w:r>
    </w:p>
    <w:p>
      <w:pPr>
        <w:pStyle w:val="ListParagraph"/>
        <w:numPr>
          <w:ilvl w:val="0"/>
          <w:numId w:val="2"/>
        </w:numPr>
        <w:spacing w:after="60"/>
      </w:pPr>
      <w:r>
        <w:rPr>
          <w:rFonts w:ascii="Arial" w:cs="Arial" w:eastAsia="Arial" w:hAnsi="Arial"/>
          <w:color w:val="1A1A1A"/>
          <w:sz w:val="20"/>
          <w:szCs w:val="20"/>
        </w:rPr>
        <w:t xml:space="preserve">Implement response caching for repeated risk assessments on the same tax return (hash-based deduplication)</w:t>
      </w:r>
    </w:p>
    <w:p>
      <w:pPr>
        <w:pStyle w:val="ListParagraph"/>
        <w:numPr>
          <w:ilvl w:val="0"/>
          <w:numId w:val="2"/>
        </w:numPr>
        <w:spacing w:after="60"/>
      </w:pPr>
      <w:r>
        <w:rPr>
          <w:rFonts w:ascii="Arial" w:cs="Arial" w:eastAsia="Arial" w:hAnsi="Arial"/>
          <w:color w:val="1A1A1A"/>
          <w:sz w:val="20"/>
          <w:szCs w:val="20"/>
        </w:rPr>
        <w:t xml:space="preserve">Add database connection pooling and query optimization; index frequently queried columns (case status, user_id, created_at)</w:t>
      </w:r>
    </w:p>
    <w:p>
      <w:pPr>
        <w:pStyle w:val="ListParagraph"/>
        <w:numPr>
          <w:ilvl w:val="0"/>
          <w:numId w:val="2"/>
        </w:numPr>
        <w:spacing w:after="60"/>
      </w:pPr>
      <w:r>
        <w:rPr>
          <w:rFonts w:ascii="Arial" w:cs="Arial" w:eastAsia="Arial" w:hAnsi="Arial"/>
          <w:color w:val="1A1A1A"/>
          <w:sz w:val="20"/>
          <w:szCs w:val="20"/>
        </w:rPr>
        <w:t xml:space="preserve">Implement a job queue (e.g., pg_cron or BullMQ) for batch processing instead of synchronous edge function loops</w:t>
      </w:r>
    </w:p>
    <w:p>
      <w:pPr>
        <w:pStyle w:val="ListParagraph"/>
        <w:numPr>
          <w:ilvl w:val="0"/>
          <w:numId w:val="2"/>
        </w:numPr>
        <w:spacing w:after="60"/>
      </w:pPr>
      <w:r>
        <w:rPr>
          <w:rFonts w:ascii="Arial" w:cs="Arial" w:eastAsia="Arial" w:hAnsi="Arial"/>
          <w:color w:val="1A1A1A"/>
          <w:sz w:val="20"/>
          <w:szCs w:val="20"/>
        </w:rPr>
        <w:t xml:space="preserve">Add health check endpoints and uptime monitoring for all external service dependencies</w:t>
      </w:r>
    </w:p>
    <w:p>
      <w:pPr>
        <w:pStyle w:val="ListParagraph"/>
        <w:numPr>
          <w:ilvl w:val="0"/>
          <w:numId w:val="2"/>
        </w:numPr>
        <w:spacing w:after="60"/>
      </w:pPr>
      <w:r>
        <w:rPr>
          <w:rFonts w:ascii="Arial" w:cs="Arial" w:eastAsia="Arial" w:hAnsi="Arial"/>
          <w:color w:val="1A1A1A"/>
          <w:sz w:val="20"/>
          <w:szCs w:val="20"/>
        </w:rPr>
        <w:t xml:space="preserve">Implement database migrations CI/CD pipeline with rollback capability and schema validation</w:t>
      </w:r>
    </w:p>
    <w:p>
      <w:pPr>
        <w:pStyle w:val="Heading2"/>
        <w:spacing w:before="280" w:after="160"/>
      </w:pPr>
      <w:r>
        <w:rPr>
          <w:rFonts w:ascii="Arial" w:cs="Arial" w:eastAsia="Arial" w:hAnsi="Arial"/>
          <w:b/>
          <w:bCs/>
          <w:color w:val="2E75B6"/>
          <w:sz w:val="26"/>
          <w:szCs w:val="26"/>
        </w:rPr>
        <w:t xml:space="preserve">Feature Enhancements</w:t>
      </w:r>
    </w:p>
    <w:p>
      <w:pPr>
        <w:pStyle w:val="ListParagraph"/>
        <w:numPr>
          <w:ilvl w:val="0"/>
          <w:numId w:val="2"/>
        </w:numPr>
        <w:spacing w:after="60"/>
      </w:pPr>
      <w:r>
        <w:rPr>
          <w:rFonts w:ascii="Arial" w:cs="Arial" w:eastAsia="Arial" w:hAnsi="Arial"/>
          <w:color w:val="1A1A1A"/>
          <w:sz w:val="20"/>
          <w:szCs w:val="20"/>
        </w:rPr>
        <w:t xml:space="preserve">Add two-factor authentication (TOTP/SMS) for enrolled agents and admins handling sensitive client data</w:t>
      </w:r>
    </w:p>
    <w:p>
      <w:pPr>
        <w:pStyle w:val="ListParagraph"/>
        <w:numPr>
          <w:ilvl w:val="0"/>
          <w:numId w:val="2"/>
        </w:numPr>
        <w:spacing w:after="60"/>
      </w:pPr>
      <w:r>
        <w:rPr>
          <w:rFonts w:ascii="Arial" w:cs="Arial" w:eastAsia="Arial" w:hAnsi="Arial"/>
          <w:color w:val="1A1A1A"/>
          <w:sz w:val="20"/>
          <w:szCs w:val="20"/>
        </w:rPr>
        <w:t xml:space="preserve">Implement real-time case updates via Supabase Realtime subscriptions instead of polling</w:t>
      </w:r>
    </w:p>
    <w:p>
      <w:pPr>
        <w:pStyle w:val="ListParagraph"/>
        <w:numPr>
          <w:ilvl w:val="0"/>
          <w:numId w:val="2"/>
        </w:numPr>
        <w:spacing w:after="60"/>
      </w:pPr>
      <w:r>
        <w:rPr>
          <w:rFonts w:ascii="Arial" w:cs="Arial" w:eastAsia="Arial" w:hAnsi="Arial"/>
          <w:color w:val="1A1A1A"/>
          <w:sz w:val="20"/>
          <w:szCs w:val="20"/>
        </w:rPr>
        <w:t xml:space="preserve">Build a document version history system with diff visualization for uploaded case documents</w:t>
      </w:r>
    </w:p>
    <w:p>
      <w:pPr>
        <w:pStyle w:val="ListParagraph"/>
        <w:numPr>
          <w:ilvl w:val="0"/>
          <w:numId w:val="2"/>
        </w:numPr>
        <w:spacing w:after="60"/>
      </w:pPr>
      <w:r>
        <w:rPr>
          <w:rFonts w:ascii="Arial" w:cs="Arial" w:eastAsia="Arial" w:hAnsi="Arial"/>
          <w:color w:val="1A1A1A"/>
          <w:sz w:val="20"/>
          <w:szCs w:val="20"/>
        </w:rPr>
        <w:t xml:space="preserve">Add a full-text search engine across cases, notes, and messages for agents managing large caseloads</w:t>
      </w:r>
    </w:p>
    <w:p>
      <w:pPr>
        <w:pStyle w:val="ListParagraph"/>
        <w:numPr>
          <w:ilvl w:val="0"/>
          <w:numId w:val="2"/>
        </w:numPr>
        <w:spacing w:after="60"/>
      </w:pPr>
      <w:r>
        <w:rPr>
          <w:rFonts w:ascii="Arial" w:cs="Arial" w:eastAsia="Arial" w:hAnsi="Arial"/>
          <w:color w:val="1A1A1A"/>
          <w:sz w:val="20"/>
          <w:szCs w:val="20"/>
        </w:rPr>
        <w:t xml:space="preserve">Implement automated IRS deadline calendar sync (iCal/Google Calendar export) based on notice response dates</w:t>
      </w:r>
    </w:p>
    <w:p>
      <w:pPr>
        <w:pStyle w:val="ListParagraph"/>
        <w:numPr>
          <w:ilvl w:val="0"/>
          <w:numId w:val="2"/>
        </w:numPr>
        <w:spacing w:after="60"/>
      </w:pPr>
      <w:r>
        <w:rPr>
          <w:rFonts w:ascii="Arial" w:cs="Arial" w:eastAsia="Arial" w:hAnsi="Arial"/>
          <w:color w:val="1A1A1A"/>
          <w:sz w:val="20"/>
          <w:szCs w:val="20"/>
        </w:rPr>
        <w:t xml:space="preserve">Add PDF annotation and markup tools so agents can highlight issues directly on uploaded documents</w:t>
      </w:r>
    </w:p>
    <w:p>
      <w:pPr>
        <w:pStyle w:val="ListParagraph"/>
        <w:numPr>
          <w:ilvl w:val="0"/>
          <w:numId w:val="2"/>
        </w:numPr>
        <w:spacing w:after="60"/>
      </w:pPr>
      <w:r>
        <w:rPr>
          <w:rFonts w:ascii="Arial" w:cs="Arial" w:eastAsia="Arial" w:hAnsi="Arial"/>
          <w:color w:val="1A1A1A"/>
          <w:sz w:val="20"/>
          <w:szCs w:val="20"/>
        </w:rPr>
        <w:t xml:space="preserve">Build a client intake questionnaire wizard that pre-populates case information and risk assessment inputs</w:t>
      </w:r>
    </w:p>
    <w:p>
      <w:pPr>
        <w:pStyle w:val="ListParagraph"/>
        <w:numPr>
          <w:ilvl w:val="0"/>
          <w:numId w:val="2"/>
        </w:numPr>
        <w:spacing w:after="60"/>
      </w:pPr>
      <w:r>
        <w:rPr>
          <w:rFonts w:ascii="Arial" w:cs="Arial" w:eastAsia="Arial" w:hAnsi="Arial"/>
          <w:color w:val="1A1A1A"/>
          <w:sz w:val="20"/>
          <w:szCs w:val="20"/>
        </w:rPr>
        <w:t xml:space="preserve">Implement automated follow-up sequences: if a client hasn't uploaded requested documents in X days, escalate</w:t>
      </w:r>
    </w:p>
    <w:p>
      <w:pPr>
        <w:pStyle w:val="ListParagraph"/>
        <w:numPr>
          <w:ilvl w:val="0"/>
          <w:numId w:val="2"/>
        </w:numPr>
        <w:spacing w:after="60"/>
      </w:pPr>
      <w:r>
        <w:rPr>
          <w:rFonts w:ascii="Arial" w:cs="Arial" w:eastAsia="Arial" w:hAnsi="Arial"/>
          <w:color w:val="1A1A1A"/>
          <w:sz w:val="20"/>
          <w:szCs w:val="20"/>
        </w:rPr>
        <w:t xml:space="preserve">Add a knowledge base of IRS notice types with historical resolution rates and recommended strategies</w:t>
      </w:r>
    </w:p>
    <w:p>
      <w:pPr>
        <w:pStyle w:val="ListParagraph"/>
        <w:numPr>
          <w:ilvl w:val="0"/>
          <w:numId w:val="2"/>
        </w:numPr>
        <w:spacing w:after="60"/>
      </w:pPr>
      <w:r>
        <w:rPr>
          <w:rFonts w:ascii="Arial" w:cs="Arial" w:eastAsia="Arial" w:hAnsi="Arial"/>
          <w:color w:val="1A1A1A"/>
          <w:sz w:val="20"/>
          <w:szCs w:val="20"/>
        </w:rPr>
        <w:t xml:space="preserve">Build a comparative analytics dashboard showing risk distribution across a firm's entire client portfolio</w:t>
      </w:r>
    </w:p>
    <w:p>
      <w:pPr>
        <w:pStyle w:val="Heading2"/>
        <w:spacing w:before="280" w:after="160"/>
      </w:pPr>
      <w:r>
        <w:rPr>
          <w:rFonts w:ascii="Arial" w:cs="Arial" w:eastAsia="Arial" w:hAnsi="Arial"/>
          <w:b/>
          <w:bCs/>
          <w:color w:val="2E75B6"/>
          <w:sz w:val="26"/>
          <w:szCs w:val="26"/>
        </w:rPr>
        <w:t xml:space="preserve">Code Quality &amp; Testing</w:t>
      </w:r>
    </w:p>
    <w:p>
      <w:pPr>
        <w:pStyle w:val="ListParagraph"/>
        <w:numPr>
          <w:ilvl w:val="0"/>
          <w:numId w:val="2"/>
        </w:numPr>
        <w:spacing w:after="60"/>
      </w:pPr>
      <w:r>
        <w:rPr>
          <w:rFonts w:ascii="Arial" w:cs="Arial" w:eastAsia="Arial" w:hAnsi="Arial"/>
          <w:color w:val="1A1A1A"/>
          <w:sz w:val="20"/>
          <w:szCs w:val="20"/>
        </w:rPr>
        <w:t xml:space="preserve">Expand test coverage beyond the two existing test files; target 80%+ on business-critical utils and hooks</w:t>
      </w:r>
    </w:p>
    <w:p>
      <w:pPr>
        <w:pStyle w:val="ListParagraph"/>
        <w:numPr>
          <w:ilvl w:val="0"/>
          <w:numId w:val="2"/>
        </w:numPr>
        <w:spacing w:after="60"/>
      </w:pPr>
      <w:r>
        <w:rPr>
          <w:rFonts w:ascii="Arial" w:cs="Arial" w:eastAsia="Arial" w:hAnsi="Arial"/>
          <w:color w:val="1A1A1A"/>
          <w:sz w:val="20"/>
          <w:szCs w:val="20"/>
        </w:rPr>
        <w:t xml:space="preserve">Add integration tests for all Supabase edge functions using Supabase local development environment</w:t>
      </w:r>
    </w:p>
    <w:p>
      <w:pPr>
        <w:pStyle w:val="ListParagraph"/>
        <w:numPr>
          <w:ilvl w:val="0"/>
          <w:numId w:val="2"/>
        </w:numPr>
        <w:spacing w:after="60"/>
      </w:pPr>
      <w:r>
        <w:rPr>
          <w:rFonts w:ascii="Arial" w:cs="Arial" w:eastAsia="Arial" w:hAnsi="Arial"/>
          <w:color w:val="1A1A1A"/>
          <w:sz w:val="20"/>
          <w:szCs w:val="20"/>
        </w:rPr>
        <w:t xml:space="preserve">Implement end-to-end tests (Playwright or Cypress) covering the full user journeys: scan, subscribe, case lifecycle</w:t>
      </w:r>
    </w:p>
    <w:p>
      <w:pPr>
        <w:pStyle w:val="ListParagraph"/>
        <w:numPr>
          <w:ilvl w:val="0"/>
          <w:numId w:val="2"/>
        </w:numPr>
        <w:spacing w:after="60"/>
      </w:pPr>
      <w:r>
        <w:rPr>
          <w:rFonts w:ascii="Arial" w:cs="Arial" w:eastAsia="Arial" w:hAnsi="Arial"/>
          <w:color w:val="1A1A1A"/>
          <w:sz w:val="20"/>
          <w:szCs w:val="20"/>
        </w:rPr>
        <w:t xml:space="preserve">Add TypeScript strict mode and fix any type: any usages throughout the codebase for better type safety</w:t>
      </w:r>
    </w:p>
    <w:p>
      <w:pPr>
        <w:pStyle w:val="ListParagraph"/>
        <w:numPr>
          <w:ilvl w:val="0"/>
          <w:numId w:val="2"/>
        </w:numPr>
        <w:spacing w:after="60"/>
      </w:pPr>
      <w:r>
        <w:rPr>
          <w:rFonts w:ascii="Arial" w:cs="Arial" w:eastAsia="Arial" w:hAnsi="Arial"/>
          <w:color w:val="1A1A1A"/>
          <w:sz w:val="20"/>
          <w:szCs w:val="20"/>
        </w:rPr>
        <w:t xml:space="preserve">Set up automated dependency vulnerability scanning (npm audit, Snyk, or Dependabot) in CI/CD pipeline</w:t>
      </w:r>
    </w:p>
    <w:p>
      <w:pPr>
        <w:pStyle w:val="ListParagraph"/>
        <w:numPr>
          <w:ilvl w:val="0"/>
          <w:numId w:val="2"/>
        </w:numPr>
        <w:spacing w:after="60"/>
      </w:pPr>
      <w:r>
        <w:rPr>
          <w:rFonts w:ascii="Arial" w:cs="Arial" w:eastAsia="Arial" w:hAnsi="Arial"/>
          <w:color w:val="1A1A1A"/>
          <w:sz w:val="20"/>
          <w:szCs w:val="20"/>
        </w:rPr>
        <w:t xml:space="preserve">Add structured error handling and error boundary components instead of console.error with toast fallbacks</w:t>
      </w:r>
    </w:p>
    <w:p>
      <w:pPr>
        <w:pStyle w:val="ListParagraph"/>
        <w:numPr>
          <w:ilvl w:val="0"/>
          <w:numId w:val="2"/>
        </w:numPr>
        <w:spacing w:after="60"/>
      </w:pPr>
      <w:r>
        <w:rPr>
          <w:rFonts w:ascii="Arial" w:cs="Arial" w:eastAsia="Arial" w:hAnsi="Arial"/>
          <w:color w:val="1A1A1A"/>
          <w:sz w:val="20"/>
          <w:szCs w:val="20"/>
        </w:rPr>
        <w:t xml:space="preserve">Create a shared validation schema library (Zod) used by both frontend forms and edge function input validation</w:t>
      </w:r>
    </w:p>
    <w:p>
      <w:pPr>
        <w:pStyle w:val="Heading2"/>
        <w:spacing w:before="280" w:after="160"/>
      </w:pPr>
      <w:r>
        <w:rPr>
          <w:rFonts w:ascii="Arial" w:cs="Arial" w:eastAsia="Arial" w:hAnsi="Arial"/>
          <w:b/>
          <w:bCs/>
          <w:color w:val="2E75B6"/>
          <w:sz w:val="26"/>
          <w:szCs w:val="26"/>
        </w:rPr>
        <w:t xml:space="preserve">Compliance &amp; Privacy</w:t>
      </w:r>
    </w:p>
    <w:p>
      <w:pPr>
        <w:pStyle w:val="ListParagraph"/>
        <w:numPr>
          <w:ilvl w:val="0"/>
          <w:numId w:val="2"/>
        </w:numPr>
        <w:spacing w:after="60"/>
      </w:pPr>
      <w:r>
        <w:rPr>
          <w:rFonts w:ascii="Arial" w:cs="Arial" w:eastAsia="Arial" w:hAnsi="Arial"/>
          <w:color w:val="1A1A1A"/>
          <w:sz w:val="20"/>
          <w:szCs w:val="20"/>
        </w:rPr>
        <w:t xml:space="preserve">Add explicit opt-in consent checkbox with timestamp logging for all email capture forms (GDPR/CCPA)</w:t>
      </w:r>
    </w:p>
    <w:p>
      <w:pPr>
        <w:pStyle w:val="ListParagraph"/>
        <w:numPr>
          <w:ilvl w:val="0"/>
          <w:numId w:val="2"/>
        </w:numPr>
        <w:spacing w:after="60"/>
      </w:pPr>
      <w:r>
        <w:rPr>
          <w:rFonts w:ascii="Arial" w:cs="Arial" w:eastAsia="Arial" w:hAnsi="Arial"/>
          <w:color w:val="1A1A1A"/>
          <w:sz w:val="20"/>
          <w:szCs w:val="20"/>
        </w:rPr>
        <w:t xml:space="preserve">Implement a data retention policy: auto-purge uploaded tax documents after configurable period post-case-resolution</w:t>
      </w:r>
    </w:p>
    <w:p>
      <w:pPr>
        <w:pStyle w:val="ListParagraph"/>
        <w:numPr>
          <w:ilvl w:val="0"/>
          <w:numId w:val="2"/>
        </w:numPr>
        <w:spacing w:after="60"/>
      </w:pPr>
      <w:r>
        <w:rPr>
          <w:rFonts w:ascii="Arial" w:cs="Arial" w:eastAsia="Arial" w:hAnsi="Arial"/>
          <w:color w:val="1A1A1A"/>
          <w:sz w:val="20"/>
          <w:szCs w:val="20"/>
        </w:rPr>
        <w:t xml:space="preserve">Build a user data export feature (GDPR Article 15) allowing clients to download all their stored personal data</w:t>
      </w:r>
    </w:p>
    <w:p>
      <w:pPr>
        <w:pStyle w:val="ListParagraph"/>
        <w:numPr>
          <w:ilvl w:val="0"/>
          <w:numId w:val="2"/>
        </w:numPr>
        <w:spacing w:after="60"/>
      </w:pPr>
      <w:r>
        <w:rPr>
          <w:rFonts w:ascii="Arial" w:cs="Arial" w:eastAsia="Arial" w:hAnsi="Arial"/>
          <w:color w:val="1A1A1A"/>
          <w:sz w:val="20"/>
          <w:szCs w:val="20"/>
        </w:rPr>
        <w:t xml:space="preserve">Add a right-to-deletion workflow (GDPR Article 17) with cascading removal across all related tables</w:t>
      </w:r>
    </w:p>
    <w:p>
      <w:pPr>
        <w:pStyle w:val="ListParagraph"/>
        <w:numPr>
          <w:ilvl w:val="0"/>
          <w:numId w:val="2"/>
        </w:numPr>
        <w:spacing w:after="60"/>
      </w:pPr>
      <w:r>
        <w:rPr>
          <w:rFonts w:ascii="Arial" w:cs="Arial" w:eastAsia="Arial" w:hAnsi="Arial"/>
          <w:color w:val="1A1A1A"/>
          <w:sz w:val="20"/>
          <w:szCs w:val="20"/>
        </w:rPr>
        <w:t xml:space="preserve">Implement Personally Identifiable Information (PII) detection and masking in server logs and error messages</w:t>
      </w:r>
    </w:p>
    <w:p>
      <w:pPr>
        <w:pStyle w:val="ListParagraph"/>
        <w:numPr>
          <w:ilvl w:val="0"/>
          <w:numId w:val="2"/>
        </w:numPr>
        <w:spacing w:after="60"/>
      </w:pPr>
      <w:r>
        <w:rPr>
          <w:rFonts w:ascii="Arial" w:cs="Arial" w:eastAsia="Arial" w:hAnsi="Arial"/>
          <w:color w:val="1A1A1A"/>
          <w:sz w:val="20"/>
          <w:szCs w:val="20"/>
        </w:rPr>
        <w:t xml:space="preserve">Create a SOC 2 compliance checklist dashboard tracking the application's security posture against control objectives</w:t>
      </w:r>
    </w:p>
    <w:p>
      <w:pPr>
        <w:pStyle w:val="Heading2"/>
        <w:spacing w:before="280" w:after="160"/>
      </w:pPr>
      <w:r>
        <w:rPr>
          <w:rFonts w:ascii="Arial" w:cs="Arial" w:eastAsia="Arial" w:hAnsi="Arial"/>
          <w:b/>
          <w:bCs/>
          <w:color w:val="2E75B6"/>
          <w:sz w:val="26"/>
          <w:szCs w:val="26"/>
        </w:rPr>
        <w:t xml:space="preserve">User Experience</w:t>
      </w:r>
    </w:p>
    <w:p>
      <w:pPr>
        <w:pStyle w:val="ListParagraph"/>
        <w:numPr>
          <w:ilvl w:val="0"/>
          <w:numId w:val="2"/>
        </w:numPr>
        <w:spacing w:after="60"/>
      </w:pPr>
      <w:r>
        <w:rPr>
          <w:rFonts w:ascii="Arial" w:cs="Arial" w:eastAsia="Arial" w:hAnsi="Arial"/>
          <w:color w:val="1A1A1A"/>
          <w:sz w:val="20"/>
          <w:szCs w:val="20"/>
        </w:rPr>
        <w:t xml:space="preserve">Add a guided onboarding tour with contextual tooltips for first-time users across each role type</w:t>
      </w:r>
    </w:p>
    <w:p>
      <w:pPr>
        <w:pStyle w:val="ListParagraph"/>
        <w:numPr>
          <w:ilvl w:val="0"/>
          <w:numId w:val="2"/>
        </w:numPr>
        <w:spacing w:after="60"/>
      </w:pPr>
      <w:r>
        <w:rPr>
          <w:rFonts w:ascii="Arial" w:cs="Arial" w:eastAsia="Arial" w:hAnsi="Arial"/>
          <w:color w:val="1A1A1A"/>
          <w:sz w:val="20"/>
          <w:szCs w:val="20"/>
        </w:rPr>
        <w:t xml:space="preserve">Implement progressive disclosure in the risk assessment results: summary view first, drill-down for details</w:t>
      </w:r>
    </w:p>
    <w:p>
      <w:pPr>
        <w:pStyle w:val="ListParagraph"/>
        <w:numPr>
          <w:ilvl w:val="0"/>
          <w:numId w:val="2"/>
        </w:numPr>
        <w:spacing w:after="60"/>
      </w:pPr>
      <w:r>
        <w:rPr>
          <w:rFonts w:ascii="Arial" w:cs="Arial" w:eastAsia="Arial" w:hAnsi="Arial"/>
          <w:color w:val="1A1A1A"/>
          <w:sz w:val="20"/>
          <w:szCs w:val="20"/>
        </w:rPr>
        <w:t xml:space="preserve">Build a mobile-optimized case management view; the current responsive design needs a dedicated mobile navigation flow</w:t>
      </w:r>
    </w:p>
    <w:p>
      <w:pPr>
        <w:pStyle w:val="ListParagraph"/>
        <w:numPr>
          <w:ilvl w:val="0"/>
          <w:numId w:val="2"/>
        </w:numPr>
        <w:spacing w:after="60"/>
      </w:pPr>
      <w:r>
        <w:rPr>
          <w:rFonts w:ascii="Arial" w:cs="Arial" w:eastAsia="Arial" w:hAnsi="Arial"/>
          <w:color w:val="1A1A1A"/>
          <w:sz w:val="20"/>
          <w:szCs w:val="20"/>
        </w:rPr>
        <w:t xml:space="preserve">Add accessibility improvements: ARIA labels, keyboard navigation, screen reader support, color contrast validation</w:t>
      </w:r>
    </w:p>
    <w:p>
      <w:pPr>
        <w:pStyle w:val="ListParagraph"/>
        <w:numPr>
          <w:ilvl w:val="0"/>
          <w:numId w:val="2"/>
        </w:numPr>
        <w:spacing w:after="60"/>
      </w:pPr>
      <w:r>
        <w:rPr>
          <w:rFonts w:ascii="Arial" w:cs="Arial" w:eastAsia="Arial" w:hAnsi="Arial"/>
          <w:color w:val="1A1A1A"/>
          <w:sz w:val="20"/>
          <w:szCs w:val="20"/>
        </w:rPr>
        <w:t xml:space="preserve">Implement smart notifications with user-configurable preferences (email frequency, in-app only, muted cases)</w:t>
      </w:r>
    </w:p>
    <w:p>
      <w:pPr>
        <w:pStyle w:val="ListParagraph"/>
        <w:numPr>
          <w:ilvl w:val="0"/>
          <w:numId w:val="2"/>
        </w:numPr>
        <w:spacing w:after="60"/>
      </w:pPr>
      <w:r>
        <w:rPr>
          <w:rFonts w:ascii="Arial" w:cs="Arial" w:eastAsia="Arial" w:hAnsi="Arial"/>
          <w:color w:val="1A1A1A"/>
          <w:sz w:val="20"/>
          <w:szCs w:val="20"/>
        </w:rPr>
        <w:t xml:space="preserve">Add a client satisfaction survey after case resolution to track NPS and identify improvement areas</w:t>
      </w:r>
    </w:p>
    <w:p>
      <w:r>
        <w:br w:type="page"/>
      </w:r>
    </w:p>
    <w:p>
      <w:pPr>
        <w:pStyle w:val="Heading1"/>
        <w:spacing w:before="360" w:after="200"/>
      </w:pPr>
      <w:r>
        <w:rPr>
          <w:rFonts w:ascii="Arial" w:cs="Arial" w:eastAsia="Arial" w:hAnsi="Arial"/>
          <w:b/>
          <w:bCs/>
          <w:color w:val="1B3A5C"/>
          <w:sz w:val="32"/>
          <w:szCs w:val="32"/>
        </w:rPr>
        <w:t xml:space="preserve">Conclusion</w:t>
      </w:r>
    </w:p>
    <w:p>
      <w:pPr>
        <w:spacing w:after="120"/>
      </w:pPr>
      <w:r>
        <w:rPr>
          <w:rFonts w:ascii="Arial" w:cs="Arial" w:eastAsia="Arial" w:hAnsi="Arial"/>
          <w:color w:val="1A1A1A"/>
          <w:sz w:val="20"/>
          <w:szCs w:val="20"/>
        </w:rPr>
        <w:t xml:space="preserve">Audit Shield Dashboard is a feature-rich platform with strong product-market fit in the tax audit defense space. The AI-powered risk assessment, IRS notice analysis, and case management workflows form a compelling value proposition for individual taxpayers, enrolled agents, and tax preparation firms.</w:t>
      </w:r>
    </w:p>
    <w:p>
      <w:pPr>
        <w:spacing w:after="120"/>
      </w:pPr>
      <w:r>
        <w:rPr>
          <w:rFonts w:ascii="Arial" w:cs="Arial" w:eastAsia="Arial" w:hAnsi="Arial"/>
          <w:color w:val="1A1A1A"/>
          <w:sz w:val="20"/>
          <w:szCs w:val="20"/>
        </w:rPr>
        <w:t xml:space="preserve">However, the security posture requires immediate attention. The two critical findings (Stripe webhook bypass and exposed credentials) represent direct financial and reputational risk. The eight high-severity issues—particularly the CORS misconfiguration, missing rate limiting, and prompt injection vulnerabilities—create a broad attack surface that must be hardened before the platform handles sensitive tax data at scale.</w:t>
      </w:r>
    </w:p>
    <w:p>
      <w:pPr>
        <w:spacing w:after="120"/>
      </w:pPr>
      <w:r>
        <w:rPr>
          <w:rFonts w:ascii="Arial" w:cs="Arial" w:eastAsia="Arial" w:hAnsi="Arial"/>
          <w:color w:val="1A1A1A"/>
          <w:sz w:val="20"/>
          <w:szCs w:val="20"/>
        </w:rPr>
        <w:t xml:space="preserve">The recommended approach is a three-week phased remediation targeting critical issues first, followed by the high and medium findings. In parallel, the feature enhancement and code quality recommendations will strengthen the platform’s long-term maintainability and competitive position.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1" w:space="4"/>
      </w:pBdr>
      <w:jc w:val="center"/>
    </w:pPr>
    <w:r>
      <w:rPr>
        <w:rFonts w:ascii="Arial" w:cs="Arial" w:eastAsia="Arial" w:hAnsi="Arial"/>
        <w:color w:val="888888"/>
        <w:sz w:val="16"/>
        <w:szCs w:val="16"/>
      </w:rPr>
      <w:t xml:space="preserve">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i/>
        <w:iCs/>
        <w:color w:val="2E75B6"/>
        <w:sz w:val="16"/>
        <w:szCs w:val="16"/>
      </w:rPr>
      <w:t xml:space="preserve">Audit Shield Dashboard — Security &amp; Feature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2026-02-14T14:20:34.028Z</dcterms:created>
  <dcterms:modified xsi:type="dcterms:W3CDTF">2026-02-14T14:20:34.028Z</dcterms:modified>
</cp:coreProperties>
</file>

<file path=docProps/custom.xml><?xml version="1.0" encoding="utf-8"?>
<Properties xmlns="http://schemas.openxmlformats.org/officeDocument/2006/custom-properties" xmlns:vt="http://schemas.openxmlformats.org/officeDocument/2006/docPropsVTypes"/>
</file>