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200"/>
        <w:jc w:val="center"/>
      </w:pPr>
      <w:r>
        <w:drawing>
          <wp:inline distT="0" distB="0" distL="0" distR="0">
            <wp:extent cx="2857500" cy="561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  <w:jc w:val="center"/>
      </w:pPr>
      <w:r>
        <w:rPr>
          <w:b/>
          <w:bCs/>
          <w:color w:val="AF8A3D"/>
          <w:sz w:val="28"/>
          <w:szCs w:val="28"/>
        </w:rPr>
        <w:t xml:space="preserve">R E S E A R C H     C O M P O U N D     C A T A L O G U E</w:t>
      </w:r>
    </w:p>
    <w:p>
      <w:pPr>
        <w:jc w:val="center"/>
      </w:pPr>
      <w:r>
        <w:rPr>
          <w:i/>
          <w:iCs/>
          <w:color w:val="1A2A49"/>
          <w:sz w:val="26"/>
          <w:szCs w:val="26"/>
        </w:rPr>
        <w:t xml:space="preserve">Price Schedule</w:t>
      </w:r>
    </w:p>
    <w:p>
      <w:pPr>
        <w:pBdr>
          <w:bottom w:val="single" w:color="AF8A3D" w:sz="8" w:space="6"/>
        </w:pBdr>
        <w:spacing w:after="0" w:before="160"/>
      </w:pPr>
    </w:p>
    <w:p>
      <w:pPr>
        <w:spacing w:after="200" w:before="1500"/>
        <w:jc w:val="center"/>
      </w:pPr>
      <w:r>
        <w:rPr>
          <w:color w:val="6B7280"/>
          <w:sz w:val="22"/>
          <w:szCs w:val="22"/>
        </w:rPr>
        <w:t xml:space="preserve">Prepared: 28 July 2026</w:t>
      </w:r>
    </w:p>
    <w:p>
      <w:pPr>
        <w:spacing w:after="20"/>
        <w:jc w:val="center"/>
      </w:pPr>
      <w:r>
        <w:rPr>
          <w:b/>
          <w:bCs/>
          <w:color w:val="1A2A49"/>
          <w:sz w:val="30"/>
          <w:szCs w:val="30"/>
        </w:rPr>
        <w:t xml:space="preserve">Pricing in South African Rand (ZAR),</w:t>
      </w:r>
    </w:p>
    <w:p>
      <w:pPr>
        <w:spacing w:after="220"/>
        <w:jc w:val="center"/>
      </w:pPr>
      <w:r>
        <w:rPr>
          <w:b/>
          <w:bCs/>
          <w:color w:val="1A2A49"/>
          <w:sz w:val="30"/>
          <w:szCs w:val="30"/>
        </w:rPr>
        <w:t xml:space="preserve">Reconstructed (Pen),</w:t>
      </w:r>
    </w:p>
    <w:p>
      <w:pPr>
        <w:spacing w:after="10"/>
        <w:jc w:val="center"/>
      </w:pPr>
      <w:r>
        <w:rPr>
          <w:color w:val="6B7280"/>
          <w:sz w:val="20"/>
          <w:szCs w:val="20"/>
        </w:rPr>
        <w:t xml:space="preserve">excludes courier delivery,</w:t>
      </w:r>
    </w:p>
    <w:p>
      <w:pPr>
        <w:jc w:val="center"/>
      </w:pPr>
      <w:r>
        <w:rPr>
          <w:color w:val="6B7280"/>
          <w:sz w:val="20"/>
          <w:szCs w:val="20"/>
        </w:rPr>
        <w:t xml:space="preserve">Subject to change without notice.</w:t>
      </w:r>
    </w:p>
    <w:p>
      <w:r>
        <w:br w:type="page"/>
      </w:r>
    </w:p>
    <w:p>
      <w:pPr>
        <w:pBdr>
          <w:bottom w:val="single" w:color="AF8A3D" w:sz="8" w:space="4"/>
        </w:pBdr>
        <w:spacing w:after="0" w:before="40"/>
      </w:pPr>
      <w:r>
        <w:rPr>
          <w:b/>
          <w:bCs/>
          <w:color w:val="1A2A49"/>
          <w:sz w:val="32"/>
          <w:szCs w:val="32"/>
        </w:rPr>
        <w:t xml:space="preserve">1.  Tissue Repair &amp; Recovery</w:t>
      </w:r>
    </w:p>
    <w:p>
      <w:pPr>
        <w:spacing w:after="140" w:before="80"/>
      </w:pPr>
      <w:r>
        <w:rPr>
          <w:i/>
          <w:iCs/>
          <w:color w:val="6B7280"/>
          <w:sz w:val="21"/>
          <w:szCs w:val="21"/>
        </w:rPr>
        <w:t xml:space="preserve">Compounds researched for soft-tissue, joint and general recovery support.</w:t>
      </w:r>
    </w:p>
    <w:tbl>
      <w:tblPr>
        <w:tblW w:type="dxa" w:w="10204"/>
        <w:tblBorders>
          <w:top w:val="single" w:color="D9DEE7" w:sz="4"/>
          <w:left w:val="single" w:color="D9DEE7" w:sz="4"/>
          <w:bottom w:val="single" w:color="D9DEE7" w:sz="4"/>
          <w:right w:val="single" w:color="D9DEE7" w:sz="4"/>
          <w:insideH w:val="single" w:color="D9DEE7" w:sz="4"/>
          <w:insideV w:val="single" w:color="D9DEE7" w:sz="4"/>
        </w:tblBorders>
      </w:tblPr>
      <w:tblGrid>
        <w:gridCol w:w="1700"/>
        <w:gridCol w:w="7004"/>
        <w:gridCol w:w="1500"/>
      </w:tblGrid>
      <w:tr>
        <w:trPr>
          <w:tblHeader/>
        </w:trPr>
        <w:tc>
          <w:tcPr>
            <w:tcW w:type="dxa" w:w="1700"/>
            <w:shd w:fill="1A2A4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7004"/>
            <w:shd w:fill="1A2A4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 &amp; Research Notes</w:t>
            </w:r>
          </w:p>
        </w:tc>
        <w:tc>
          <w:tcPr>
            <w:tcW w:type="dxa" w:w="1500"/>
            <w:shd w:fill="1A2A4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Retail (ZAR)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BPC-157 10mg</w:t>
            </w:r>
          </w:p>
          <w:p>
            <w:r>
              <w:rPr>
                <w:color w:val="333333"/>
                <w:sz w:val="18"/>
                <w:szCs w:val="18"/>
              </w:rPr>
              <w:t xml:space="preserve">Promotes blood-vessel formation, reduces inflammation and protects cells from damage — studied to speed the healing response in soft tissue, gut lining and joints.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775,00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TB-500 10mg</w:t>
            </w:r>
          </w:p>
          <w:p>
            <w:r>
              <w:rPr>
                <w:color w:val="333333"/>
                <w:sz w:val="18"/>
                <w:szCs w:val="18"/>
              </w:rPr>
              <w:t xml:space="preserve">Promotes migration of stem cells to injured areas, helps form new blood vessels, reduces inflammation and prevents excessive scar tissue; often studied alongside BPC-157 for combined soft-tissue recovery.</w:t>
            </w:r>
          </w:p>
        </w:tc>
        <w:tc>
          <w:tcPr>
            <w:tcW w:type="dxa" w:w="15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1075,00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CJC-1295 + Ipamorelin</w:t>
            </w:r>
          </w:p>
          <w:p>
            <w:r>
              <w:rPr>
                <w:color w:val="333333"/>
                <w:sz w:val="18"/>
                <w:szCs w:val="18"/>
              </w:rPr>
              <w:t xml:space="preserve">CJC-1295 extends how long each natural growth-hormone pulse lasts while Ipamorelin adds extra pulses, together creating a sustained increase in natural GH release — researched for recovery, body composition and sleep quality.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1025,00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CJC-1295 (No DAC) 10mg</w:t>
            </w:r>
          </w:p>
          <w:p>
            <w:r>
              <w:rPr>
                <w:color w:val="333333"/>
                <w:sz w:val="18"/>
                <w:szCs w:val="18"/>
              </w:rPr>
              <w:t xml:space="preserve">Extends the duration of the body's natural growth-hormone pulse for more sustained release without shutting down natural production — a popular short-acting option for GH-pulse research.</w:t>
            </w:r>
          </w:p>
        </w:tc>
        <w:tc>
          <w:tcPr>
            <w:tcW w:type="dxa" w:w="15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975,00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DSIP 10mg</w:t>
            </w:r>
          </w:p>
          <w:p>
            <w:r>
              <w:rPr>
                <w:color w:val="333333"/>
                <w:sz w:val="18"/>
                <w:szCs w:val="18"/>
              </w:rPr>
              <w:t xml:space="preserve">Crosses the blood-brain barrier and interacts with the central nervous system to promote delta-wave (deep, restorative) sleep — a key subject in sleep-cycle research.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975,00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Ipamorelin 10mg</w:t>
            </w:r>
          </w:p>
          <w:p>
            <w:r>
              <w:rPr>
                <w:color w:val="333333"/>
                <w:sz w:val="18"/>
                <w:szCs w:val="18"/>
              </w:rPr>
              <w:t xml:space="preserve">Mimics ghrelin to selectively stimulate growth-hormone release; studied for increased GH without materially disturbing cortisol or appetite hormones.</w:t>
            </w:r>
          </w:p>
        </w:tc>
        <w:tc>
          <w:tcPr>
            <w:tcW w:type="dxa" w:w="15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725,00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Pinealon 10mg</w:t>
            </w:r>
          </w:p>
          <w:p>
            <w:r>
              <w:rPr>
                <w:color w:val="333333"/>
                <w:sz w:val="18"/>
                <w:szCs w:val="18"/>
              </w:rPr>
              <w:t xml:space="preserve">Investigated for its potential to support neuronal health, cognitive performance and cellular resilience.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825,00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TB-500 10mg (Alt SKU)</w:t>
            </w:r>
          </w:p>
          <w:p>
            <w:r>
              <w:rPr>
                <w:color w:val="333333"/>
                <w:sz w:val="18"/>
                <w:szCs w:val="18"/>
              </w:rPr>
              <w:t xml:space="preserve">Promotes migration of stem cells to injured areas, helps form new blood vessels, reduces inflammation and prevents excessive scar tissue; often studied alongside BPC-157 for combined soft-tissue recovery.</w:t>
            </w:r>
          </w:p>
        </w:tc>
        <w:tc>
          <w:tcPr>
            <w:tcW w:type="dxa" w:w="15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1075,00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TB-500 5mg</w:t>
            </w:r>
          </w:p>
          <w:p>
            <w:r>
              <w:rPr>
                <w:color w:val="333333"/>
                <w:sz w:val="18"/>
                <w:szCs w:val="18"/>
              </w:rPr>
              <w:t xml:space="preserve">Promotes migration of stem cells to injured areas, helps form new blood vessels, reduces inflammation and prevents excessive scar tissue; often studied alongside BPC-157 for combined soft-tissue recovery.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775,00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VIP 10mg</w:t>
            </w:r>
          </w:p>
          <w:p>
            <w:r>
              <w:rPr>
                <w:color w:val="333333"/>
                <w:sz w:val="18"/>
                <w:szCs w:val="18"/>
              </w:rPr>
              <w:t xml:space="preserve">Modulates immune responses, reduces inflammatory cytokines, improves gut-barrier function and protects neurons — studied in gut-immune-brain communication.</w:t>
            </w:r>
          </w:p>
        </w:tc>
        <w:tc>
          <w:tcPr>
            <w:tcW w:type="dxa" w:w="15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1575,00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BPC-157 5mg</w:t>
            </w:r>
          </w:p>
          <w:p>
            <w:r>
              <w:rPr>
                <w:color w:val="333333"/>
                <w:sz w:val="18"/>
                <w:szCs w:val="18"/>
              </w:rPr>
              <w:t xml:space="preserve">Promotes blood-vessel formation, reduces inflammation and protects cells from damage — studied to speed the healing response in soft tissue, gut lining and joints.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626,00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ARA-290 10mg</w:t>
            </w:r>
          </w:p>
          <w:p>
            <w:r>
              <w:rPr>
                <w:color w:val="333333"/>
                <w:sz w:val="18"/>
                <w:szCs w:val="18"/>
              </w:rPr>
              <w:t xml:space="preserve">A non-erythropoietic EPO derivative studied for activating the innate repair receptor to reduce inflammation and support nerve and tissue repair.</w:t>
            </w:r>
          </w:p>
        </w:tc>
        <w:tc>
          <w:tcPr>
            <w:tcW w:type="dxa" w:w="15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745,00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KPV 10mg</w:t>
            </w:r>
          </w:p>
          <w:p>
            <w:r>
              <w:rPr>
                <w:color w:val="333333"/>
                <w:sz w:val="18"/>
                <w:szCs w:val="18"/>
              </w:rPr>
              <w:t xml:space="preserve">A tripeptide fragment of alpha-MSH studied for its anti-inflammatory action in the gut and skin and for supporting tissue healing.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675,00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Sermorelin 10mg</w:t>
            </w:r>
          </w:p>
          <w:p>
            <w:r>
              <w:rPr>
                <w:color w:val="333333"/>
                <w:sz w:val="18"/>
                <w:szCs w:val="18"/>
              </w:rPr>
              <w:t xml:space="preserve">A growth-hormone-releasing hormone analogue that signals the pituitary to release growth hormone naturally; studied for recovery, body composition and sleep.</w:t>
            </w:r>
          </w:p>
        </w:tc>
        <w:tc>
          <w:tcPr>
            <w:tcW w:type="dxa" w:w="15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1075,00</w:t>
            </w:r>
          </w:p>
        </w:tc>
      </w:tr>
    </w:tbl>
    <w:p>
      <w:r>
        <w:br w:type="page"/>
      </w:r>
    </w:p>
    <w:p>
      <w:pPr>
        <w:pBdr>
          <w:bottom w:val="single" w:color="AF8A3D" w:sz="8" w:space="4"/>
        </w:pBdr>
        <w:spacing w:after="0" w:before="160"/>
      </w:pPr>
      <w:r>
        <w:rPr>
          <w:b/>
          <w:bCs/>
          <w:color w:val="1A2A49"/>
          <w:sz w:val="32"/>
          <w:szCs w:val="32"/>
        </w:rPr>
        <w:t xml:space="preserve">2.  Metabolic &amp; Weight Management</w:t>
      </w:r>
    </w:p>
    <w:p>
      <w:pPr>
        <w:spacing w:after="140" w:before="80"/>
      </w:pPr>
      <w:r>
        <w:rPr>
          <w:i/>
          <w:iCs/>
          <w:color w:val="6B7280"/>
          <w:sz w:val="21"/>
          <w:szCs w:val="21"/>
        </w:rPr>
        <w:t xml:space="preserve">Compounds researched for fat metabolism, appetite regulation and body composition.</w:t>
      </w:r>
    </w:p>
    <w:tbl>
      <w:tblPr>
        <w:tblW w:type="dxa" w:w="10204"/>
        <w:tblBorders>
          <w:top w:val="single" w:color="D9DEE7" w:sz="4"/>
          <w:left w:val="single" w:color="D9DEE7" w:sz="4"/>
          <w:bottom w:val="single" w:color="D9DEE7" w:sz="4"/>
          <w:right w:val="single" w:color="D9DEE7" w:sz="4"/>
          <w:insideH w:val="single" w:color="D9DEE7" w:sz="4"/>
          <w:insideV w:val="single" w:color="D9DEE7" w:sz="4"/>
        </w:tblBorders>
      </w:tblPr>
      <w:tblGrid>
        <w:gridCol w:w="1700"/>
        <w:gridCol w:w="7004"/>
        <w:gridCol w:w="1500"/>
      </w:tblGrid>
      <w:tr>
        <w:trPr>
          <w:tblHeader/>
        </w:trPr>
        <w:tc>
          <w:tcPr>
            <w:tcW w:type="dxa" w:w="1700"/>
            <w:shd w:fill="1A2A4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7004"/>
            <w:shd w:fill="1A2A4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 &amp; Research Notes</w:t>
            </w:r>
          </w:p>
        </w:tc>
        <w:tc>
          <w:tcPr>
            <w:tcW w:type="dxa" w:w="1500"/>
            <w:shd w:fill="1A2A4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Retail (ZAR)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AOD-9604</w:t>
            </w:r>
          </w:p>
          <w:p>
            <w:r>
              <w:rPr>
                <w:color w:val="333333"/>
                <w:sz w:val="18"/>
                <w:szCs w:val="18"/>
              </w:rPr>
              <w:t xml:space="preserve">Mimics the way natural growth hormone regulates fat metabolism, helping break down stored fat and prevent new fat formation without the broader effects of full-length GH.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896,00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IGF-1 LR3</w:t>
            </w:r>
          </w:p>
          <w:p>
            <w:r>
              <w:rPr>
                <w:color w:val="333333"/>
                <w:sz w:val="18"/>
                <w:szCs w:val="18"/>
              </w:rPr>
              <w:t xml:space="preserve">Binds IGF-1 receptors to support anabolic signalling, protein synthesis, recovery pathways and metabolic regulation over an extended half-life.</w:t>
            </w:r>
          </w:p>
        </w:tc>
        <w:tc>
          <w:tcPr>
            <w:tcW w:type="dxa" w:w="15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1575,00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Kisspeptin 10mg</w:t>
            </w:r>
          </w:p>
          <w:p>
            <w:r>
              <w:rPr>
                <w:color w:val="333333"/>
                <w:sz w:val="18"/>
                <w:szCs w:val="18"/>
              </w:rPr>
              <w:t xml:space="preserve">Activates the hypothalamic-pituitary-gonadal axis, stimulating release of LH and FSH — a core subject in reproductive-hormone research.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975,00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MOTS-c 10mg</w:t>
            </w:r>
          </w:p>
          <w:p>
            <w:r>
              <w:rPr>
                <w:color w:val="333333"/>
                <w:sz w:val="18"/>
                <w:szCs w:val="18"/>
              </w:rPr>
              <w:t xml:space="preserve">Improves how mitochondria produce energy, helping cells burn fat and use glucose more efficiently, and activates AMPK — a key pathway in exercise and metabolic research.</w:t>
            </w:r>
          </w:p>
        </w:tc>
        <w:tc>
          <w:tcPr>
            <w:tcW w:type="dxa" w:w="15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815,00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MOTS-c 20mg</w:t>
            </w:r>
          </w:p>
          <w:p>
            <w:r>
              <w:rPr>
                <w:color w:val="333333"/>
                <w:sz w:val="18"/>
                <w:szCs w:val="18"/>
              </w:rPr>
              <w:t xml:space="preserve">Improves how mitochondria produce energy, helping cells burn fat and use glucose more efficiently, and activates AMPK — a key pathway in exercise and metabolic research.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1075,00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MOTS-c 40mg</w:t>
            </w:r>
          </w:p>
          <w:p>
            <w:r>
              <w:rPr>
                <w:color w:val="333333"/>
                <w:sz w:val="18"/>
                <w:szCs w:val="18"/>
              </w:rPr>
              <w:t xml:space="preserve">Improves how mitochondria produce energy, helping cells burn fat and use glucose more efficiently, and activates AMPK — a key pathway in exercise and metabolic research.</w:t>
            </w:r>
          </w:p>
        </w:tc>
        <w:tc>
          <w:tcPr>
            <w:tcW w:type="dxa" w:w="15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1375,00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NAD+ 500mg</w:t>
            </w:r>
          </w:p>
          <w:p>
            <w:r>
              <w:rPr>
                <w:color w:val="333333"/>
                <w:sz w:val="18"/>
                <w:szCs w:val="18"/>
              </w:rPr>
              <w:t xml:space="preserve">Acts as a helper molecule in hundreds of metabolic processes, especially mitochondrial energy production; elevated NAD+ is studied for cellular energy and repair pathways central to longevity research.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875,00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Retatrutide 10mg</w:t>
            </w:r>
          </w:p>
          <w:p>
            <w:r>
              <w:rPr>
                <w:color w:val="333333"/>
                <w:sz w:val="18"/>
                <w:szCs w:val="18"/>
              </w:rPr>
              <w:t xml:space="preserve">Activates GIP, GLP-1 and glucagon receptors — supporting satiety, more effective insulin use and increased energy expenditure; one of the most closely watched compounds in current metabolic research.</w:t>
            </w:r>
          </w:p>
        </w:tc>
        <w:tc>
          <w:tcPr>
            <w:tcW w:type="dxa" w:w="15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1075,00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Retatrutide 20mg</w:t>
            </w:r>
          </w:p>
          <w:p>
            <w:r>
              <w:rPr>
                <w:color w:val="333333"/>
                <w:sz w:val="18"/>
                <w:szCs w:val="18"/>
              </w:rPr>
              <w:t xml:space="preserve">Activates GIP, GLP-1 and glucagon receptors — supporting satiety, more effective insulin use and increased energy expenditure; one of the most closely watched compounds in current metabolic research.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1475,00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Retatrutide 30mg</w:t>
            </w:r>
          </w:p>
          <w:p>
            <w:r>
              <w:rPr>
                <w:color w:val="333333"/>
                <w:sz w:val="18"/>
                <w:szCs w:val="18"/>
              </w:rPr>
              <w:t xml:space="preserve">Activates GIP, GLP-1 and glucagon receptors — supporting satiety, more effective insulin use and increased energy expenditure; one of the most closely watched compounds in current metabolic research.</w:t>
            </w:r>
          </w:p>
        </w:tc>
        <w:tc>
          <w:tcPr>
            <w:tcW w:type="dxa" w:w="15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1775,00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Retatrutide 40mg</w:t>
            </w:r>
          </w:p>
          <w:p>
            <w:r>
              <w:rPr>
                <w:color w:val="333333"/>
                <w:sz w:val="18"/>
                <w:szCs w:val="18"/>
              </w:rPr>
              <w:t xml:space="preserve">Activates GIP, GLP-1 and glucagon receptors — supporting satiety, more effective insulin use and increased energy expenditure; one of the most closely watched compounds in current metabolic research.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2175,00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Tesamorelin 10mg</w:t>
            </w:r>
          </w:p>
          <w:p>
            <w:r>
              <w:rPr>
                <w:color w:val="333333"/>
                <w:sz w:val="18"/>
                <w:szCs w:val="18"/>
              </w:rPr>
              <w:t xml:space="preserve">Signals the pituitary gland to release growth hormone naturally rather than introducing GH directly; studied for its effect on visceral belly fat linked to metabolic risk.</w:t>
            </w:r>
          </w:p>
        </w:tc>
        <w:tc>
          <w:tcPr>
            <w:tcW w:type="dxa" w:w="15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1176,00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Tesamorelin 20mg</w:t>
            </w:r>
          </w:p>
          <w:p>
            <w:r>
              <w:rPr>
                <w:color w:val="333333"/>
                <w:sz w:val="18"/>
                <w:szCs w:val="18"/>
              </w:rPr>
              <w:t xml:space="preserve">Signals the pituitary gland to release growth hormone naturally rather than introducing GH directly; studied for its effect on visceral belly fat linked to metabolic risk.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1775,00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Tirzepatide</w:t>
            </w:r>
          </w:p>
          <w:p>
            <w:r>
              <w:rPr>
                <w:color w:val="333333"/>
                <w:sz w:val="18"/>
                <w:szCs w:val="18"/>
              </w:rPr>
              <w:t xml:space="preserve">Investigated for its potential to support glucose-dependent insulin secretion, appetite regulation and gastric-emptying pathways.</w:t>
            </w:r>
          </w:p>
        </w:tc>
        <w:tc>
          <w:tcPr>
            <w:tcW w:type="dxa" w:w="15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1276,00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Tesamorelin 5mg</w:t>
            </w:r>
          </w:p>
          <w:p>
            <w:r>
              <w:rPr>
                <w:color w:val="333333"/>
                <w:sz w:val="18"/>
                <w:szCs w:val="18"/>
              </w:rPr>
              <w:t xml:space="preserve">Signals the pituitary gland to release growth hormone naturally rather than introducing GH directly; studied for its effect on visceral belly fat linked to metabolic risk.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926,00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5-Amino-1MQ 5mg</w:t>
            </w:r>
          </w:p>
          <w:p>
            <w:r>
              <w:rPr>
                <w:color w:val="333333"/>
                <w:sz w:val="18"/>
                <w:szCs w:val="18"/>
              </w:rPr>
              <w:t xml:space="preserve">Investigated for whether influencing NNMT pathways may affect energy expenditure, fat metabolism and body-composition regulation.</w:t>
            </w:r>
          </w:p>
        </w:tc>
        <w:tc>
          <w:tcPr>
            <w:tcW w:type="dxa" w:w="15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601,00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Lemon Bottle 10ml</w:t>
            </w:r>
          </w:p>
          <w:p>
            <w:r>
              <w:rPr>
                <w:color w:val="333333"/>
                <w:sz w:val="18"/>
                <w:szCs w:val="18"/>
              </w:rPr>
              <w:t xml:space="preserve">A lipolytic solution studied for localised fat breakdown; a research injectable investigated for body-contouring applications.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825,00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Mazdutide 10mg</w:t>
            </w:r>
          </w:p>
          <w:p>
            <w:r>
              <w:rPr>
                <w:color w:val="333333"/>
                <w:sz w:val="18"/>
                <w:szCs w:val="18"/>
              </w:rPr>
              <w:t xml:space="preserve">A dual GLP-1 and glucagon receptor agonist studied for appetite regulation, glucose control and increased energy expenditure.</w:t>
            </w:r>
          </w:p>
        </w:tc>
        <w:tc>
          <w:tcPr>
            <w:tcW w:type="dxa" w:w="15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1575,00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NAD+ 1000mg</w:t>
            </w:r>
          </w:p>
          <w:p>
            <w:r>
              <w:rPr>
                <w:color w:val="333333"/>
                <w:sz w:val="18"/>
                <w:szCs w:val="18"/>
              </w:rPr>
              <w:t xml:space="preserve">Acts as a helper molecule in hundreds of metabolic processes, especially mitochondrial energy production; elevated NAD+ is studied for cellular energy and repair pathways central to longevity research.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1275,00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Semaglutide 10mg</w:t>
            </w:r>
          </w:p>
          <w:p>
            <w:r>
              <w:rPr>
                <w:color w:val="333333"/>
                <w:sz w:val="18"/>
                <w:szCs w:val="18"/>
              </w:rPr>
              <w:t xml:space="preserve">A GLP-1 receptor agonist studied for glucose-dependent insulin secretion, appetite suppression and slowed gastric emptying.</w:t>
            </w:r>
          </w:p>
        </w:tc>
        <w:tc>
          <w:tcPr>
            <w:tcW w:type="dxa" w:w="15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POA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Semaglutide 30mg</w:t>
            </w:r>
          </w:p>
          <w:p>
            <w:r>
              <w:rPr>
                <w:color w:val="333333"/>
                <w:sz w:val="18"/>
                <w:szCs w:val="18"/>
              </w:rPr>
              <w:t xml:space="preserve">A GLP-1 receptor agonist studied for glucose-dependent insulin secretion, appetite suppression and slowed gastric emptying.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POA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SLU-PP-332 5mg</w:t>
            </w:r>
          </w:p>
          <w:p>
            <w:r>
              <w:rPr>
                <w:color w:val="333333"/>
                <w:sz w:val="18"/>
                <w:szCs w:val="18"/>
              </w:rPr>
              <w:t xml:space="preserve">An ERR agonist ('exercise mimetic') studied for its potential to increase energy expenditure and fat oxidation without physical exertion.</w:t>
            </w:r>
          </w:p>
        </w:tc>
        <w:tc>
          <w:tcPr>
            <w:tcW w:type="dxa" w:w="15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POA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Tirzepatide 15mg</w:t>
            </w:r>
          </w:p>
          <w:p>
            <w:r>
              <w:rPr>
                <w:color w:val="333333"/>
                <w:sz w:val="18"/>
                <w:szCs w:val="18"/>
              </w:rPr>
              <w:t xml:space="preserve">Investigated for its potential to support glucose-dependent insulin secretion, appetite regulation and gastric-emptying pathways.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975,00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Tirzepatide 30mg</w:t>
            </w:r>
          </w:p>
          <w:p>
            <w:r>
              <w:rPr>
                <w:color w:val="333333"/>
                <w:sz w:val="18"/>
                <w:szCs w:val="18"/>
              </w:rPr>
              <w:t xml:space="preserve">Investigated for its potential to support glucose-dependent insulin secretion, appetite regulation and gastric-emptying pathways.</w:t>
            </w:r>
          </w:p>
        </w:tc>
        <w:tc>
          <w:tcPr>
            <w:tcW w:type="dxa" w:w="15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1326,00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Tirzepatide 60mg</w:t>
            </w:r>
          </w:p>
          <w:p>
            <w:r>
              <w:rPr>
                <w:color w:val="333333"/>
                <w:sz w:val="18"/>
                <w:szCs w:val="18"/>
              </w:rPr>
              <w:t xml:space="preserve">Investigated for its potential to support glucose-dependent insulin secretion, appetite regulation and gastric-emptying pathways.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1875,00</w:t>
            </w:r>
          </w:p>
        </w:tc>
      </w:tr>
    </w:tbl>
    <w:p>
      <w:r>
        <w:br w:type="page"/>
      </w:r>
    </w:p>
    <w:p>
      <w:pPr>
        <w:pBdr>
          <w:bottom w:val="single" w:color="AF8A3D" w:sz="8" w:space="4"/>
        </w:pBdr>
        <w:spacing w:after="0" w:before="160"/>
      </w:pPr>
      <w:r>
        <w:rPr>
          <w:b/>
          <w:bCs/>
          <w:color w:val="1A2A49"/>
          <w:sz w:val="32"/>
          <w:szCs w:val="32"/>
        </w:rPr>
        <w:t xml:space="preserve">3.  Longevity &amp; Cellular Health</w:t>
      </w:r>
    </w:p>
    <w:p>
      <w:pPr>
        <w:spacing w:after="140" w:before="80"/>
      </w:pPr>
      <w:r>
        <w:rPr>
          <w:i/>
          <w:iCs/>
          <w:color w:val="6B7280"/>
          <w:sz w:val="21"/>
          <w:szCs w:val="21"/>
        </w:rPr>
        <w:t xml:space="preserve">Compounds researched for cellular ageing, mitochondrial function and immune signaling.</w:t>
      </w:r>
    </w:p>
    <w:tbl>
      <w:tblPr>
        <w:tblW w:type="dxa" w:w="10204"/>
        <w:tblBorders>
          <w:top w:val="single" w:color="D9DEE7" w:sz="4"/>
          <w:left w:val="single" w:color="D9DEE7" w:sz="4"/>
          <w:bottom w:val="single" w:color="D9DEE7" w:sz="4"/>
          <w:right w:val="single" w:color="D9DEE7" w:sz="4"/>
          <w:insideH w:val="single" w:color="D9DEE7" w:sz="4"/>
          <w:insideV w:val="single" w:color="D9DEE7" w:sz="4"/>
        </w:tblBorders>
      </w:tblPr>
      <w:tblGrid>
        <w:gridCol w:w="1700"/>
        <w:gridCol w:w="7004"/>
        <w:gridCol w:w="1500"/>
      </w:tblGrid>
      <w:tr>
        <w:trPr>
          <w:tblHeader/>
        </w:trPr>
        <w:tc>
          <w:tcPr>
            <w:tcW w:type="dxa" w:w="1700"/>
            <w:shd w:fill="1A2A4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7004"/>
            <w:shd w:fill="1A2A4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 &amp; Research Notes</w:t>
            </w:r>
          </w:p>
        </w:tc>
        <w:tc>
          <w:tcPr>
            <w:tcW w:type="dxa" w:w="1500"/>
            <w:shd w:fill="1A2A4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Retail (ZAR)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Epithalon 10mg</w:t>
            </w:r>
          </w:p>
          <w:p>
            <w:r>
              <w:rPr>
                <w:color w:val="333333"/>
                <w:sz w:val="18"/>
                <w:szCs w:val="18"/>
              </w:rPr>
              <w:t xml:space="preserve">Activates telomerase to help lengthen telomeres and slow cellular ageing, and regulates melatonin production — linked to circadian and longevity research.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686,00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Epithalon 50mg</w:t>
            </w:r>
          </w:p>
          <w:p>
            <w:r>
              <w:rPr>
                <w:color w:val="333333"/>
                <w:sz w:val="18"/>
                <w:szCs w:val="18"/>
              </w:rPr>
              <w:t xml:space="preserve">Activates telomerase to help lengthen telomeres and slow cellular ageing, and regulates melatonin production — linked to circadian and longevity research.</w:t>
            </w:r>
          </w:p>
        </w:tc>
        <w:tc>
          <w:tcPr>
            <w:tcW w:type="dxa" w:w="15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1175,00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HCG 5000iu</w:t>
            </w:r>
          </w:p>
          <w:p>
            <w:r>
              <w:rPr>
                <w:color w:val="333333"/>
                <w:sz w:val="18"/>
                <w:szCs w:val="18"/>
              </w:rPr>
              <w:t xml:space="preserve">Investigated for its ability to stimulate endogenous testosterone production and support reproductive function.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775,00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Selank 10mg</w:t>
            </w:r>
          </w:p>
          <w:p>
            <w:r>
              <w:rPr>
                <w:color w:val="333333"/>
                <w:sz w:val="18"/>
                <w:szCs w:val="18"/>
              </w:rPr>
              <w:t xml:space="preserve">Modulates GABA, serotonin and dopamine systems; studied for reducing anxiety and stress without sedation — a focus of cognitive and stress-response research.</w:t>
            </w:r>
          </w:p>
        </w:tc>
        <w:tc>
          <w:tcPr>
            <w:tcW w:type="dxa" w:w="15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896,00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Thymosin Alpha-1</w:t>
            </w:r>
          </w:p>
          <w:p>
            <w:r>
              <w:rPr>
                <w:color w:val="333333"/>
                <w:sz w:val="18"/>
                <w:szCs w:val="18"/>
              </w:rPr>
              <w:t xml:space="preserve">Investigated for its potential to support T-cell maturation, immune signalling and cytokine activity.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1325,00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Semax 10mg</w:t>
            </w:r>
          </w:p>
          <w:p>
            <w:r>
              <w:rPr>
                <w:color w:val="333333"/>
                <w:sz w:val="18"/>
                <w:szCs w:val="18"/>
              </w:rPr>
              <w:t xml:space="preserve">Increases brain-derived neurotrophic factor (BDNF) to promote neuron growth and survival; studied for effects on focus, mood and cognitive performance.</w:t>
            </w:r>
          </w:p>
        </w:tc>
        <w:tc>
          <w:tcPr>
            <w:tcW w:type="dxa" w:w="15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896,00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SS-31 50mg</w:t>
            </w:r>
          </w:p>
          <w:p>
            <w:r>
              <w:rPr>
                <w:color w:val="333333"/>
                <w:sz w:val="18"/>
                <w:szCs w:val="18"/>
              </w:rPr>
              <w:t xml:space="preserve">Investigated for its ability to bind cardiolipin within the inner mitochondrial membrane, supporting mitochondrial efficiency and ATP production.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1875,00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FOXO4-DRI</w:t>
            </w:r>
          </w:p>
          <w:p>
            <w:r>
              <w:rPr>
                <w:color w:val="333333"/>
                <w:sz w:val="18"/>
                <w:szCs w:val="18"/>
              </w:rPr>
              <w:t xml:space="preserve">Disrupts the FOXO4-p53 interaction to allow apoptosis of senescent ('zombie') cells while largely sparing healthy cells — a focus of cellular-ageing research.</w:t>
            </w:r>
          </w:p>
        </w:tc>
        <w:tc>
          <w:tcPr>
            <w:tcW w:type="dxa" w:w="15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2175,00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SS-31 10mg</w:t>
            </w:r>
          </w:p>
          <w:p>
            <w:r>
              <w:rPr>
                <w:color w:val="333333"/>
                <w:sz w:val="18"/>
                <w:szCs w:val="18"/>
              </w:rPr>
              <w:t xml:space="preserve">Investigated for its ability to bind cardiolipin within the inner mitochondrial membrane, supporting mitochondrial efficiency and ATP production.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1075,00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Glutathione 600mg</w:t>
            </w:r>
          </w:p>
          <w:p>
            <w:r>
              <w:rPr>
                <w:color w:val="333333"/>
                <w:sz w:val="18"/>
                <w:szCs w:val="18"/>
              </w:rPr>
              <w:t xml:space="preserve">The body's master antioxidant, studied for its role in cellular detoxification, oxidative-stress defence and skin brightening.</w:t>
            </w:r>
          </w:p>
        </w:tc>
        <w:tc>
          <w:tcPr>
            <w:tcW w:type="dxa" w:w="15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675,00</w:t>
            </w:r>
          </w:p>
        </w:tc>
      </w:tr>
    </w:tbl>
    <w:p>
      <w:r>
        <w:br w:type="page"/>
      </w:r>
    </w:p>
    <w:p>
      <w:pPr>
        <w:pBdr>
          <w:bottom w:val="single" w:color="AF8A3D" w:sz="8" w:space="4"/>
        </w:pBdr>
        <w:spacing w:after="0" w:before="160"/>
      </w:pPr>
      <w:r>
        <w:rPr>
          <w:b/>
          <w:bCs/>
          <w:color w:val="1A2A49"/>
          <w:sz w:val="32"/>
          <w:szCs w:val="32"/>
        </w:rPr>
        <w:t xml:space="preserve">4.  Specialty Combination Stacks</w:t>
      </w:r>
    </w:p>
    <w:p>
      <w:pPr>
        <w:spacing w:after="140" w:before="80"/>
      </w:pPr>
      <w:r>
        <w:rPr>
          <w:i/>
          <w:iCs/>
          <w:color w:val="6B7280"/>
          <w:sz w:val="21"/>
          <w:szCs w:val="21"/>
        </w:rPr>
        <w:t xml:space="preserve">Pre-combined multi-peptide blends researched for compounded effects across skin, tissue and recovery pathways.</w:t>
      </w:r>
    </w:p>
    <w:tbl>
      <w:tblPr>
        <w:tblW w:type="dxa" w:w="10204"/>
        <w:tblBorders>
          <w:top w:val="single" w:color="D9DEE7" w:sz="4"/>
          <w:left w:val="single" w:color="D9DEE7" w:sz="4"/>
          <w:bottom w:val="single" w:color="D9DEE7" w:sz="4"/>
          <w:right w:val="single" w:color="D9DEE7" w:sz="4"/>
          <w:insideH w:val="single" w:color="D9DEE7" w:sz="4"/>
          <w:insideV w:val="single" w:color="D9DEE7" w:sz="4"/>
        </w:tblBorders>
      </w:tblPr>
      <w:tblGrid>
        <w:gridCol w:w="1700"/>
        <w:gridCol w:w="7004"/>
        <w:gridCol w:w="1500"/>
      </w:tblGrid>
      <w:tr>
        <w:trPr>
          <w:tblHeader/>
        </w:trPr>
        <w:tc>
          <w:tcPr>
            <w:tcW w:type="dxa" w:w="1700"/>
            <w:shd w:fill="1A2A4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7004"/>
            <w:shd w:fill="1A2A4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 &amp; Research Notes</w:t>
            </w:r>
          </w:p>
        </w:tc>
        <w:tc>
          <w:tcPr>
            <w:tcW w:type="dxa" w:w="1500"/>
            <w:shd w:fill="1A2A4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Retail (ZAR)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Wolverine Blend - BPC-157 + TB-500 10mg (5mg+5mg)</w:t>
            </w:r>
          </w:p>
          <w:p>
            <w:r>
              <w:rPr>
                <w:color w:val="333333"/>
                <w:sz w:val="18"/>
                <w:szCs w:val="18"/>
              </w:rPr>
              <w:t xml:space="preserve">A BPC-157 + TB-500 blend (5mg+5mg): BPC-157 targets rapid localised repair of gut, tendons and ligaments while TB-500 promotes whole-body healing, flexibility and blood-vessel formation — researched for accelerated recovery across multiple tissue types.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976,00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BPC-157 + TB-500 20mg</w:t>
            </w:r>
          </w:p>
          <w:p>
            <w:r>
              <w:rPr>
                <w:color w:val="333333"/>
                <w:sz w:val="18"/>
                <w:szCs w:val="18"/>
              </w:rPr>
              <w:t xml:space="preserve">A BPC-157 + TB-500 blend: BPC-157 targets rapid localised repair while TB-500 promotes whole-body healing, flexibility and blood-vessel formation — researched for accelerated recovery across multiple tissue types.</w:t>
            </w:r>
          </w:p>
        </w:tc>
        <w:tc>
          <w:tcPr>
            <w:tcW w:type="dxa" w:w="15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1376,00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GLOW Stack 70mg</w:t>
            </w:r>
          </w:p>
          <w:p>
            <w:r>
              <w:rPr>
                <w:color w:val="333333"/>
                <w:sz w:val="18"/>
                <w:szCs w:val="18"/>
              </w:rPr>
              <w:t xml:space="preserve">A regeneration and skin-quality stack: GHK-Cu promotes collagen production and skin regeneration while companion peptides support tissue remodelling and structural repair as a combined formula.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1426,00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GHK-Cu 100mg</w:t>
            </w:r>
          </w:p>
          <w:p>
            <w:r>
              <w:rPr>
                <w:color w:val="333333"/>
                <w:sz w:val="18"/>
                <w:szCs w:val="18"/>
              </w:rPr>
              <w:t xml:space="preserve">Stimulates collagen and elastin production, promotes wound healing, reduces inflammation and acts as a powerful antioxidant; the copper complex is widely researched for skin, hair and tissue-remodelling applications.</w:t>
            </w:r>
          </w:p>
        </w:tc>
        <w:tc>
          <w:tcPr>
            <w:tcW w:type="dxa" w:w="15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975,00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GHK-Cu 50mg</w:t>
            </w:r>
          </w:p>
          <w:p>
            <w:r>
              <w:rPr>
                <w:color w:val="333333"/>
                <w:sz w:val="18"/>
                <w:szCs w:val="18"/>
              </w:rPr>
              <w:t xml:space="preserve">Stimulates collagen and elastin production, promotes wound healing, reduces inflammation and acts as a powerful antioxidant; the copper complex is widely researched for skin, hair and tissue-remodelling applications.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775,00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KLOW Stack 80mg</w:t>
            </w:r>
          </w:p>
          <w:p>
            <w:r>
              <w:rPr>
                <w:color w:val="333333"/>
                <w:sz w:val="18"/>
                <w:szCs w:val="18"/>
              </w:rPr>
              <w:t xml:space="preserve">A KLOW stack: GHK-Cu promotes collagen production and copper delivery for skin and tissue regeneration while partner peptides support recovery, hydration and structural repair as a combined formula.</w:t>
            </w:r>
          </w:p>
        </w:tc>
        <w:tc>
          <w:tcPr>
            <w:tcW w:type="dxa" w:w="15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1626,00</w:t>
            </w:r>
          </w:p>
        </w:tc>
      </w:tr>
    </w:tbl>
    <w:p>
      <w:r>
        <w:br w:type="page"/>
      </w:r>
    </w:p>
    <w:p>
      <w:pPr>
        <w:pBdr>
          <w:bottom w:val="single" w:color="AF8A3D" w:sz="8" w:space="4"/>
        </w:pBdr>
        <w:spacing w:after="0" w:before="160"/>
      </w:pPr>
      <w:r>
        <w:rPr>
          <w:b/>
          <w:bCs/>
          <w:color w:val="1A2A49"/>
          <w:sz w:val="32"/>
          <w:szCs w:val="32"/>
        </w:rPr>
        <w:t xml:space="preserve">5.  Hormonal &amp; Vitality</w:t>
      </w:r>
    </w:p>
    <w:p>
      <w:pPr>
        <w:spacing w:after="140" w:before="80"/>
      </w:pPr>
      <w:r>
        <w:rPr>
          <w:i/>
          <w:iCs/>
          <w:color w:val="6B7280"/>
          <w:sz w:val="21"/>
          <w:szCs w:val="21"/>
        </w:rPr>
        <w:t xml:space="preserve">Compounds researched for hormonal signalling, pigmentation and vitality pathways.</w:t>
      </w:r>
    </w:p>
    <w:tbl>
      <w:tblPr>
        <w:tblW w:type="dxa" w:w="10204"/>
        <w:tblBorders>
          <w:top w:val="single" w:color="D9DEE7" w:sz="4"/>
          <w:left w:val="single" w:color="D9DEE7" w:sz="4"/>
          <w:bottom w:val="single" w:color="D9DEE7" w:sz="4"/>
          <w:right w:val="single" w:color="D9DEE7" w:sz="4"/>
          <w:insideH w:val="single" w:color="D9DEE7" w:sz="4"/>
          <w:insideV w:val="single" w:color="D9DEE7" w:sz="4"/>
        </w:tblBorders>
      </w:tblPr>
      <w:tblGrid>
        <w:gridCol w:w="1700"/>
        <w:gridCol w:w="7004"/>
        <w:gridCol w:w="1500"/>
      </w:tblGrid>
      <w:tr>
        <w:trPr>
          <w:tblHeader/>
        </w:trPr>
        <w:tc>
          <w:tcPr>
            <w:tcW w:type="dxa" w:w="1700"/>
            <w:shd w:fill="1A2A4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7004"/>
            <w:shd w:fill="1A2A4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 &amp; Research Notes</w:t>
            </w:r>
          </w:p>
        </w:tc>
        <w:tc>
          <w:tcPr>
            <w:tcW w:type="dxa" w:w="1500"/>
            <w:shd w:fill="1A2A4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Retail (ZAR)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Melanotan 2 10mg</w:t>
            </w:r>
          </w:p>
          <w:p>
            <w:r>
              <w:rPr>
                <w:color w:val="333333"/>
                <w:sz w:val="18"/>
                <w:szCs w:val="18"/>
              </w:rPr>
              <w:t xml:space="preserve">Activates melanocortin receptors in skin cells to trigger melanin production for a protective tan with UV exposure; also studied for effects on appetite and libido.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776,00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PT-141 10mg</w:t>
            </w:r>
          </w:p>
          <w:p>
            <w:r>
              <w:rPr>
                <w:color w:val="333333"/>
                <w:sz w:val="18"/>
                <w:szCs w:val="18"/>
              </w:rPr>
              <w:t xml:space="preserve">Activates melanocortin receptors in the hypothalamus to trigger natural sexual arousal and desire; unlike some approaches it does not act directly on blood flow.</w:t>
            </w:r>
          </w:p>
        </w:tc>
        <w:tc>
          <w:tcPr>
            <w:tcW w:type="dxa" w:w="15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755,00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Snap-8 10mg</w:t>
            </w:r>
          </w:p>
          <w:p>
            <w:r>
              <w:rPr>
                <w:color w:val="333333"/>
                <w:sz w:val="18"/>
                <w:szCs w:val="18"/>
              </w:rPr>
              <w:t xml:space="preserve">Studied for its potential to influence neurotransmitter signalling associated with facial muscle contractions — a topical, cosmetic-research peptide.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675,00</w:t>
            </w:r>
          </w:p>
        </w:tc>
      </w:tr>
    </w:tbl>
    <w:p>
      <w:r>
        <w:br w:type="page"/>
      </w:r>
    </w:p>
    <w:p>
      <w:pPr>
        <w:pBdr>
          <w:bottom w:val="single" w:color="AF8A3D" w:sz="8" w:space="4"/>
        </w:pBdr>
        <w:spacing w:after="0" w:before="160"/>
      </w:pPr>
      <w:r>
        <w:rPr>
          <w:b/>
          <w:bCs/>
          <w:color w:val="1A2A49"/>
          <w:sz w:val="32"/>
          <w:szCs w:val="32"/>
        </w:rPr>
        <w:t xml:space="preserve">6.  Accessories &amp; Consumables</w:t>
      </w:r>
    </w:p>
    <w:p>
      <w:pPr>
        <w:spacing w:after="140" w:before="80"/>
      </w:pPr>
      <w:r>
        <w:rPr>
          <w:i/>
          <w:iCs/>
          <w:color w:val="6B7280"/>
          <w:sz w:val="21"/>
          <w:szCs w:val="21"/>
        </w:rPr>
        <w:t xml:space="preserve">Essential lab consumables and delivery accessories used alongside research compounds.</w:t>
      </w:r>
    </w:p>
    <w:tbl>
      <w:tblPr>
        <w:tblW w:type="dxa" w:w="10204"/>
        <w:tblBorders>
          <w:top w:val="single" w:color="D9DEE7" w:sz="4"/>
          <w:left w:val="single" w:color="D9DEE7" w:sz="4"/>
          <w:bottom w:val="single" w:color="D9DEE7" w:sz="4"/>
          <w:right w:val="single" w:color="D9DEE7" w:sz="4"/>
          <w:insideH w:val="single" w:color="D9DEE7" w:sz="4"/>
          <w:insideV w:val="single" w:color="D9DEE7" w:sz="4"/>
        </w:tblBorders>
      </w:tblPr>
      <w:tblGrid>
        <w:gridCol w:w="1700"/>
        <w:gridCol w:w="7004"/>
        <w:gridCol w:w="1500"/>
      </w:tblGrid>
      <w:tr>
        <w:trPr>
          <w:tblHeader/>
        </w:trPr>
        <w:tc>
          <w:tcPr>
            <w:tcW w:type="dxa" w:w="1700"/>
            <w:shd w:fill="1A2A4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7004"/>
            <w:shd w:fill="1A2A4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 &amp; Research Notes</w:t>
            </w:r>
          </w:p>
        </w:tc>
        <w:tc>
          <w:tcPr>
            <w:tcW w:type="dxa" w:w="1500"/>
            <w:shd w:fill="1A2A4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Retail (ZAR)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Bacteriostatic Water</w:t>
            </w:r>
          </w:p>
          <w:p>
            <w:r>
              <w:rPr>
                <w:color w:val="333333"/>
                <w:sz w:val="18"/>
                <w:szCs w:val="18"/>
              </w:rPr>
              <w:t xml:space="preserve">Sterile water containing a small amount of benzyl alcohol, used to reconstitute freeze-dried peptides prior to research use. Not a peptide — an essential laboratory consumable.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POA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Bacteriostatic Water 10ml</w:t>
            </w:r>
          </w:p>
          <w:p>
            <w:r>
              <w:rPr>
                <w:color w:val="333333"/>
                <w:sz w:val="18"/>
                <w:szCs w:val="18"/>
              </w:rPr>
              <w:t xml:space="preserve">Sterile water containing a small amount of benzyl alcohol, used to reconstitute freeze-dried peptides prior to research use. Not a peptide — an essential laboratory consumable.</w:t>
            </w:r>
          </w:p>
        </w:tc>
        <w:tc>
          <w:tcPr>
            <w:tcW w:type="dxa" w:w="15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326,00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Cartridge</w:t>
            </w:r>
          </w:p>
          <w:p>
            <w:r>
              <w:rPr>
                <w:color w:val="333333"/>
                <w:sz w:val="18"/>
                <w:szCs w:val="18"/>
              </w:rPr>
              <w:t xml:space="preserve">Replacement cartridge accessory for compatible pen-style reconstitution and delivery devices.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72,00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No image</w:t>
            </w:r>
          </w:p>
        </w:tc>
        <w:tc>
          <w:tcPr>
            <w:tcW w:type="dxa" w:w="7004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Disposable Pen</w:t>
            </w:r>
          </w:p>
          <w:p>
            <w:r>
              <w:rPr>
                <w:color w:val="333333"/>
                <w:sz w:val="18"/>
                <w:szCs w:val="18"/>
              </w:rPr>
              <w:t xml:space="preserve">Single-use pen device for convenient reconstitution and measured delivery of research compounds.</w:t>
            </w:r>
          </w:p>
        </w:tc>
        <w:tc>
          <w:tcPr>
            <w:tcW w:type="dxa" w:w="15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526,00</w:t>
            </w:r>
          </w:p>
        </w:tc>
      </w:tr>
    </w:tbl>
    <w:p>
      <w:r>
        <w:br w:type="page"/>
      </w:r>
    </w:p>
    <w:p>
      <w:pPr>
        <w:pBdr>
          <w:bottom w:val="single" w:color="AF8A3D" w:sz="8" w:space="4"/>
        </w:pBdr>
        <w:spacing w:after="0" w:before="160"/>
      </w:pPr>
      <w:r>
        <w:rPr>
          <w:b/>
          <w:bCs/>
          <w:color w:val="1A2A49"/>
          <w:sz w:val="32"/>
          <w:szCs w:val="32"/>
        </w:rPr>
        <w:t xml:space="preserve">7.  Options &amp; Delivery</w:t>
      </w:r>
    </w:p>
    <w:p>
      <w:pPr>
        <w:spacing w:after="140" w:before="80"/>
      </w:pPr>
      <w:r>
        <w:rPr>
          <w:i/>
          <w:iCs/>
          <w:color w:val="6B7280"/>
          <w:sz w:val="21"/>
          <w:szCs w:val="21"/>
        </w:rPr>
        <w:t xml:space="preserve">Temperature-controlled packaging and courier delivery options for your order.</w:t>
      </w:r>
    </w:p>
    <w:tbl>
      <w:tblPr>
        <w:tblW w:type="dxa" w:w="10204"/>
        <w:tblBorders>
          <w:top w:val="single" w:color="D9DEE7" w:sz="4"/>
          <w:left w:val="single" w:color="D9DEE7" w:sz="4"/>
          <w:bottom w:val="single" w:color="D9DEE7" w:sz="4"/>
          <w:right w:val="single" w:color="D9DEE7" w:sz="4"/>
          <w:insideH w:val="single" w:color="D9DEE7" w:sz="4"/>
          <w:insideV w:val="single" w:color="D9DEE7" w:sz="4"/>
        </w:tblBorders>
      </w:tblPr>
      <w:tblGrid>
        <w:gridCol w:w="1700"/>
        <w:gridCol w:w="7004"/>
        <w:gridCol w:w="1500"/>
      </w:tblGrid>
      <w:tr>
        <w:trPr>
          <w:tblHeader/>
        </w:trPr>
        <w:tc>
          <w:tcPr>
            <w:tcW w:type="dxa" w:w="1700"/>
            <w:shd w:fill="1A2A4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7004"/>
            <w:shd w:fill="1A2A4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 &amp; Research Notes</w:t>
            </w:r>
          </w:p>
        </w:tc>
        <w:tc>
          <w:tcPr>
            <w:tcW w:type="dxa" w:w="1500"/>
            <w:shd w:fill="1A2A4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Retail (ZAR)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Ice Pack</w:t>
            </w:r>
          </w:p>
          <w:p>
            <w:r>
              <w:rPr>
                <w:color w:val="333333"/>
                <w:sz w:val="18"/>
                <w:szCs w:val="18"/>
              </w:rPr>
              <w:t xml:space="preserve">Reusable ice pack for temperature-controlled shipping of research compounds.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35,00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Thermal Bag</w:t>
            </w:r>
          </w:p>
          <w:p>
            <w:r>
              <w:rPr>
                <w:color w:val="333333"/>
                <w:sz w:val="18"/>
                <w:szCs w:val="18"/>
              </w:rPr>
              <w:t xml:space="preserve">Insulated thermal bag for temperature-controlled delivery of research compounds.</w:t>
            </w:r>
          </w:p>
        </w:tc>
        <w:tc>
          <w:tcPr>
            <w:tcW w:type="dxa" w:w="15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100,00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Delivery Local</w:t>
            </w:r>
          </w:p>
          <w:p>
            <w:r>
              <w:rPr>
                <w:color w:val="333333"/>
                <w:sz w:val="18"/>
                <w:szCs w:val="18"/>
              </w:rPr>
              <w:t xml:space="preserve">Local courier delivery within the metro area.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145,00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A2A49"/>
                <w:sz w:val="23"/>
                <w:szCs w:val="23"/>
              </w:rPr>
              <w:t xml:space="preserve">Delivery National</w:t>
            </w:r>
          </w:p>
          <w:p>
            <w:r>
              <w:rPr>
                <w:color w:val="333333"/>
                <w:sz w:val="18"/>
                <w:szCs w:val="18"/>
              </w:rPr>
              <w:t xml:space="preserve">National courier delivery across South Africa.</w:t>
            </w:r>
          </w:p>
        </w:tc>
        <w:tc>
          <w:tcPr>
            <w:tcW w:type="dxa" w:w="1500"/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49"/>
                <w:sz w:val="22"/>
                <w:szCs w:val="22"/>
              </w:rPr>
              <w:t xml:space="preserve">R 249,00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851" w:bottom="1000" w:left="851" w:header="70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EE7" w:sz="4" w:space="4"/>
      </w:pBdr>
      <w:tabs>
        <w:tab w:val="right" w:pos="10204"/>
      </w:tabs>
    </w:pPr>
    <w:r>
      <w:rPr>
        <w:color w:val="6B7280"/>
        <w:sz w:val="16"/>
        <w:szCs w:val="16"/>
      </w:rPr>
      <w:t xml:space="preserve">Research Use Only — Prices ZAR,</w:t>
    </w:r>
    <w:r>
      <w:rPr>
        <w:sz w:val="16"/>
        <w:szCs w:val="16"/>
      </w:rPr>
      <w:t xml:space="preserve">	</w:t>
    </w: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7" w:sz="4" w:space="4"/>
      </w:pBdr>
    </w:pPr>
    <w:r>
      <w:drawing>
        <wp:inline distT="0" distB="0" distL="0" distR="0">
          <wp:extent cx="247650" cy="2476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47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A2A49"/>
        <w:sz w:val="18"/>
        <w:szCs w:val="18"/>
      </w:rPr>
      <w:t xml:space="preserve">  THE MOLECULE CO.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dac9aa1c8f456f8dd80799c6327a7e55ee0eacbd.png"/><Relationship Id="rId12" Type="http://schemas.openxmlformats.org/officeDocument/2006/relationships/image" Target="media/70ddb490a7a11b62dc6e9b31fe299ee4809047e2.png"/><Relationship Id="rId13" Type="http://schemas.openxmlformats.org/officeDocument/2006/relationships/image" Target="media/b518718aa00ce8d67e98c06202fdd30fc6802a5f.png"/><Relationship Id="rId14" Type="http://schemas.openxmlformats.org/officeDocument/2006/relationships/image" Target="media/727f92d2a0da2abdf09790d9e60409a0438d3f00.png"/><Relationship Id="rId15" Type="http://schemas.openxmlformats.org/officeDocument/2006/relationships/image" Target="media/2b9d88eba3626091e9b0ca5a0055711427f070dd.png"/><Relationship Id="rId16" Type="http://schemas.openxmlformats.org/officeDocument/2006/relationships/image" Target="media/3f60bb5b79881081bd1b719557eec1bbd3cd9a8c.png"/><Relationship Id="rId17" Type="http://schemas.openxmlformats.org/officeDocument/2006/relationships/image" Target="media/2f07be5c6f5d781150b3572c9e1fd7db54e85ff7.png"/><Relationship Id="rId18" Type="http://schemas.openxmlformats.org/officeDocument/2006/relationships/image" Target="media/7c6572849b2795031b8a2f2b1bac8494243f091c.png"/><Relationship Id="rId19" Type="http://schemas.openxmlformats.org/officeDocument/2006/relationships/image" Target="media/ac39d7c3bf1105ff476370b26dd0675741428b29.png"/><Relationship Id="rId20" Type="http://schemas.openxmlformats.org/officeDocument/2006/relationships/image" Target="media/230aacb0f3f26c0f17df079135ac89adefcf457b.png"/><Relationship Id="rId21" Type="http://schemas.openxmlformats.org/officeDocument/2006/relationships/image" Target="media/db49ce574eb5d5cf512d1e7101c520e3a64ba98e.png"/><Relationship Id="rId22" Type="http://schemas.openxmlformats.org/officeDocument/2006/relationships/image" Target="media/ebd5cac39c879a970f2a17a8b5c6e2eda5b89013.png"/><Relationship Id="rId23" Type="http://schemas.openxmlformats.org/officeDocument/2006/relationships/image" Target="media/55cd54157322fb5be33b46aeb0295d27536e847d.png"/><Relationship Id="rId24" Type="http://schemas.openxmlformats.org/officeDocument/2006/relationships/image" Target="media/ab07705a7dcfb75995736e19a6e9fa3ebe4539aa.png"/><Relationship Id="rId25" Type="http://schemas.openxmlformats.org/officeDocument/2006/relationships/image" Target="media/684645b2a526ab139e87e86babececa5d91d272a.png"/><Relationship Id="rId26" Type="http://schemas.openxmlformats.org/officeDocument/2006/relationships/image" Target="media/59a9b4cc899402cb9f471c0d6cbcf6cecbb497f6.png"/><Relationship Id="rId27" Type="http://schemas.openxmlformats.org/officeDocument/2006/relationships/image" Target="media/15bb32a75174e934426b2def9210f9dd533bd7ec.png"/><Relationship Id="rId28" Type="http://schemas.openxmlformats.org/officeDocument/2006/relationships/image" Target="media/77f96f34b11930f4444608ab9b7f49835bd72be6.png"/><Relationship Id="rId29" Type="http://schemas.openxmlformats.org/officeDocument/2006/relationships/image" Target="media/6aa4053b98893befa8492883b76f03078b2865d6.png"/><Relationship Id="rId30" Type="http://schemas.openxmlformats.org/officeDocument/2006/relationships/image" Target="media/8cd05d3af9b4d5fa5dbf433d7144b9ebe3ec166b.png"/><Relationship Id="rId31" Type="http://schemas.openxmlformats.org/officeDocument/2006/relationships/image" Target="media/736aa3a6711daf3a85aa1cb2c678cef5ada15ab1.png"/><Relationship Id="rId32" Type="http://schemas.openxmlformats.org/officeDocument/2006/relationships/image" Target="media/57efe67ee7fb424016b60503f50f522601ce0ddb.png"/><Relationship Id="rId33" Type="http://schemas.openxmlformats.org/officeDocument/2006/relationships/image" Target="media/7d1a2244b0d1c6f9034a3e3dc173ac5160dfaa61.png"/><Relationship Id="rId34" Type="http://schemas.openxmlformats.org/officeDocument/2006/relationships/image" Target="media/8e884394bc651b2104375a553e87a546a3e9d571.png"/><Relationship Id="rId35" Type="http://schemas.openxmlformats.org/officeDocument/2006/relationships/image" Target="media/1cec58b271d2b8835c6327bd17892c48bd600976.png"/><Relationship Id="rId36" Type="http://schemas.openxmlformats.org/officeDocument/2006/relationships/image" Target="media/be14c807704dc8b2f3fc372e45b8d880b48ffd1c.png"/><Relationship Id="rId37" Type="http://schemas.openxmlformats.org/officeDocument/2006/relationships/image" Target="media/3d637a4df9610a4b406c2512bb86327a67daf8f7.png"/><Relationship Id="rId38" Type="http://schemas.openxmlformats.org/officeDocument/2006/relationships/image" Target="media/8210691730a1590bb8c5a6831cd047c65fd68e36.png"/><Relationship Id="rId39" Type="http://schemas.openxmlformats.org/officeDocument/2006/relationships/image" Target="media/a561ca277915b909cf7f78dbfaab0ab53d5af755.png"/><Relationship Id="rId40" Type="http://schemas.openxmlformats.org/officeDocument/2006/relationships/image" Target="media/dd47bd57c9f1dd8e0c5797888298d075bdcff5e9.png"/><Relationship Id="rId41" Type="http://schemas.openxmlformats.org/officeDocument/2006/relationships/image" Target="media/72bef9bbda058c69f7b64529cf0b56b8fdcb4282.png"/><Relationship Id="rId42" Type="http://schemas.openxmlformats.org/officeDocument/2006/relationships/image" Target="media/d8f1a18a70cd48851a229e82eea9f4f5045fe55b.png"/><Relationship Id="rId43" Type="http://schemas.openxmlformats.org/officeDocument/2006/relationships/image" Target="media/28e8f1dcaca9947be3abda11853124bfbbb68230.png"/><Relationship Id="rId44" Type="http://schemas.openxmlformats.org/officeDocument/2006/relationships/image" Target="media/0252e1ffc55077a769dd2f98bb7cdd5026050924.png"/><Relationship Id="rId45" Type="http://schemas.openxmlformats.org/officeDocument/2006/relationships/image" Target="media/ea9358906683f856b8520dafc59b4e9dea2ea130.png"/><Relationship Id="rId46" Type="http://schemas.openxmlformats.org/officeDocument/2006/relationships/image" Target="media/42665963d3aba535161ddd175405faf96297b8f1.png"/><Relationship Id="rId47" Type="http://schemas.openxmlformats.org/officeDocument/2006/relationships/image" Target="media/6de624aa93510b696df32dbac1d8cd652cc887ff.png"/><Relationship Id="rId48" Type="http://schemas.openxmlformats.org/officeDocument/2006/relationships/image" Target="media/fed0c82e19713b17ef3fbd3660db616fc0105d86.png"/><Relationship Id="rId49" Type="http://schemas.openxmlformats.org/officeDocument/2006/relationships/image" Target="media/bc4b054a9fff97beb5140f35819dc88367e65a2b.png"/><Relationship Id="rId50" Type="http://schemas.openxmlformats.org/officeDocument/2006/relationships/image" Target="media/93b5318dbba6edaa79840227de60edd55a3a626c.png"/><Relationship Id="rId51" Type="http://schemas.openxmlformats.org/officeDocument/2006/relationships/image" Target="media/d549b6689474d04936221c1a5b95e8672803a56e.png"/><Relationship Id="rId52" Type="http://schemas.openxmlformats.org/officeDocument/2006/relationships/image" Target="media/1493757b553d01d572c7c7a68397cca9b9d71140.png"/><Relationship Id="rId53" Type="http://schemas.openxmlformats.org/officeDocument/2006/relationships/image" Target="media/03671f1baa022248500ceeeb2a8a59b8b54fb4fb.png"/><Relationship Id="rId54" Type="http://schemas.openxmlformats.org/officeDocument/2006/relationships/image" Target="media/8abd4ad22689170f07052f4bf2ce1356d06068e0.png"/><Relationship Id="rId55" Type="http://schemas.openxmlformats.org/officeDocument/2006/relationships/image" Target="media/3079e5bd3240e601bb711f9c8dfd49c7ac80fda5.png"/><Relationship Id="rId56" Type="http://schemas.openxmlformats.org/officeDocument/2006/relationships/image" Target="media/8b183d5eab95725153cc16e118e8d5568b6d31a9.png"/><Relationship Id="rId57" Type="http://schemas.openxmlformats.org/officeDocument/2006/relationships/image" Target="media/15754e69504961420ad3bc7f1031286a15b8e459.png"/><Relationship Id="rId58" Type="http://schemas.openxmlformats.org/officeDocument/2006/relationships/image" Target="media/e57ce95c325701d985a6085d257be9260c4a67e8.png"/><Relationship Id="rId59" Type="http://schemas.openxmlformats.org/officeDocument/2006/relationships/image" Target="media/bff0795f7255ef46a2393ffefd51e9548b07310d.png"/><Relationship Id="rId60" Type="http://schemas.openxmlformats.org/officeDocument/2006/relationships/image" Target="media/245f724c656971d7e6932edcf98c5c535cb2ca85.png"/><Relationship Id="rId61" Type="http://schemas.openxmlformats.org/officeDocument/2006/relationships/image" Target="media/480f4cc6e267554009e0f897c8b96df31f3cf987.png"/><Relationship Id="rId62" Type="http://schemas.openxmlformats.org/officeDocument/2006/relationships/image" Target="media/5a2dd3d62e85d04b6a5bd88112ffefb838240836.png"/><Relationship Id="rId63" Type="http://schemas.openxmlformats.org/officeDocument/2006/relationships/image" Target="media/63ff1e39d566699b204dff24bd37b6eb00c4d146.png"/><Relationship Id="rId64" Type="http://schemas.openxmlformats.org/officeDocument/2006/relationships/image" Target="media/837ea8790960ec43c497e3f4c1643cc1d5ed3c8a.png"/><Relationship Id="rId65" Type="http://schemas.openxmlformats.org/officeDocument/2006/relationships/image" Target="media/c252fd6ef22589b2d15eec0820fe03ba8269a60d.png"/><Relationship Id="rId66" Type="http://schemas.openxmlformats.org/officeDocument/2006/relationships/image" Target="media/d6a7700e67850d5a7ecadd79d29c07b4987f41c0.png"/><Relationship Id="rId67" Type="http://schemas.openxmlformats.org/officeDocument/2006/relationships/image" Target="media/824c5a61301bd377f1a424fe72dbec671e13982c.png"/><Relationship Id="rId68" Type="http://schemas.openxmlformats.org/officeDocument/2006/relationships/image" Target="media/16b03c095365814b4e4db3192e70257ba93cc04e.png"/><Relationship Id="rId6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dfe5164d0e5b3ae727d0a0ba4f5bd85824705e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Molecule Co. — Research Compound Catalogue Price Schedule</dc:title>
  <dc:creator>The Molecule Co.</dc:creator>
  <cp:lastModifiedBy>Un-named</cp:lastModifiedBy>
  <cp:revision>1</cp:revision>
  <dcterms:created xsi:type="dcterms:W3CDTF">2026-07-28T06:20:29.167Z</dcterms:created>
  <dcterms:modified xsi:type="dcterms:W3CDTF">2026-07-28T06:20:29.179Z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