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3200"/>
        <w:jc w:val="center"/>
      </w:pPr>
      <w:r>
        <w:drawing>
          <wp:inline distT="0" distB="0" distL="0" distR="0">
            <wp:extent cx="2857500" cy="56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rPr>
          <w:b/>
          <w:bCs/>
          <w:color w:val="AF8A3D"/>
          <w:sz w:val="28"/>
          <w:szCs w:val="28"/>
        </w:rPr>
        <w:t xml:space="preserve">R E S E A R C H     C O M P O U N D     C A T A L O G U E</w:t>
      </w:r>
    </w:p>
    <w:p>
      <w:pPr>
        <w:jc w:val="center"/>
      </w:pPr>
      <w:r>
        <w:rPr>
          <w:i/>
          <w:iCs/>
          <w:color w:val="1A2A49"/>
          <w:sz w:val="26"/>
          <w:szCs w:val="26"/>
        </w:rPr>
        <w:t xml:space="preserve">Price Schedule</w:t>
      </w:r>
    </w:p>
    <w:p>
      <w:pPr>
        <w:pBdr>
          <w:bottom w:val="single" w:color="AF8A3D" w:sz="8" w:space="6"/>
        </w:pBdr>
        <w:spacing w:after="0" w:before="160"/>
      </w:pPr>
    </w:p>
    <w:p>
      <w:pPr>
        <w:spacing w:after="200" w:before="1500"/>
        <w:jc w:val="center"/>
      </w:pPr>
      <w:r>
        <w:rPr>
          <w:color w:val="6B7280"/>
          <w:sz w:val="22"/>
          <w:szCs w:val="22"/>
        </w:rPr>
        <w:t xml:space="preserve">Prepared: 28 July 2026</w:t>
      </w:r>
    </w:p>
    <w:p>
      <w:pPr>
        <w:spacing w:after="20"/>
        <w:jc w:val="center"/>
      </w:pPr>
      <w:r>
        <w:rPr>
          <w:b/>
          <w:bCs/>
          <w:color w:val="1A2A49"/>
          <w:sz w:val="30"/>
          <w:szCs w:val="30"/>
        </w:rPr>
        <w:t xml:space="preserve">Pricing in South African Rand (ZAR),</w:t>
      </w:r>
    </w:p>
    <w:p>
      <w:pPr>
        <w:spacing w:after="220"/>
        <w:jc w:val="center"/>
      </w:pPr>
      <w:r>
        <w:rPr>
          <w:b/>
          <w:bCs/>
          <w:color w:val="1A2A49"/>
          <w:sz w:val="30"/>
          <w:szCs w:val="30"/>
        </w:rPr>
        <w:t xml:space="preserve">Reconstructed (Pen),</w:t>
      </w:r>
    </w:p>
    <w:p>
      <w:pPr>
        <w:spacing w:after="10"/>
        <w:jc w:val="center"/>
      </w:pPr>
      <w:r>
        <w:rPr>
          <w:color w:val="6B7280"/>
          <w:sz w:val="20"/>
          <w:szCs w:val="20"/>
        </w:rPr>
        <w:t xml:space="preserve">excludes courier delivery,</w:t>
      </w:r>
    </w:p>
    <w:p>
      <w:pPr>
        <w:jc w:val="center"/>
      </w:pPr>
      <w:r>
        <w:rPr>
          <w:color w:val="6B7280"/>
          <w:sz w:val="20"/>
          <w:szCs w:val="20"/>
        </w:rPr>
        <w:t xml:space="preserve">Subject to change without notice.</w:t>
      </w:r>
    </w:p>
    <w:p>
      <w:r>
        <w:br w:type="page"/>
      </w:r>
    </w:p>
    <w:p>
      <w:pPr>
        <w:pBdr>
          <w:bottom w:val="single" w:color="AF8A3D" w:sz="8" w:space="4"/>
        </w:pBdr>
        <w:spacing w:after="0" w:before="40"/>
      </w:pPr>
      <w:r>
        <w:rPr>
          <w:b/>
          <w:bCs/>
          <w:color w:val="1A2A49"/>
          <w:sz w:val="32"/>
          <w:szCs w:val="32"/>
        </w:rPr>
        <w:t xml:space="preserve">1.  Tissue Repair &amp; Recovery</w:t>
      </w:r>
    </w:p>
    <w:p>
      <w:pPr>
        <w:spacing w:after="140" w:before="80"/>
      </w:pPr>
      <w:r>
        <w:rPr>
          <w:i/>
          <w:iCs/>
          <w:color w:val="6B7280"/>
          <w:sz w:val="21"/>
          <w:szCs w:val="21"/>
        </w:rPr>
        <w:t xml:space="preserve">Compounds researched for soft-tissue, joint and general recovery support.</w:t>
      </w:r>
    </w:p>
    <w:tbl>
      <w:tblPr>
        <w:tblW w:type="dxa" w:w="10204"/>
        <w:tblBorders>
          <w:top w:val="single" w:color="D9DEE7" w:sz="4"/>
          <w:left w:val="single" w:color="D9DEE7" w:sz="4"/>
          <w:bottom w:val="single" w:color="D9DEE7" w:sz="4"/>
          <w:right w:val="single" w:color="D9DEE7" w:sz="4"/>
          <w:insideH w:val="single" w:color="D9DEE7" w:sz="4"/>
          <w:insideV w:val="single" w:color="D9DEE7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BPC-157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Promotes blood-vessel formation, reduces inflammation and protects cells from damage — studied to speed the healing response in soft tissue, gut lining and joints.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775,00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TB-500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1075,00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CJC-1295 + Ipamorelin</w:t>
            </w:r>
          </w:p>
          <w:p>
            <w:r>
              <w:rPr>
                <w:color w:val="333333"/>
                <w:sz w:val="18"/>
                <w:szCs w:val="18"/>
              </w:rPr>
              <w:t xml:space="preserve">CJC-1295 extends how long each natural growth-hormone pulse lasts while Ipamorelin adds extra pulses, together creating a sustained increase in natural GH release — researched for recovery, body composition and sleep quality.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1025,00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CJC-1295 (No DAC)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Extends the duration of the body's natural growth-hormone pulse for more sustained release without shutting down natural production — a popular short-acting option for GH-pulse research.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975,00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DSIP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Crosses the blood-brain barrier and interacts with the central nervous system to promote delta-wave (deep, restorative) sleep — a key subject in sleep-cycle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975,00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Ipamorelin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Mimics ghrelin to selectively stimulate growth-hormone release; studied for increased GH without materially disturbing cortisol or appetite hormones.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725,00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Pinealon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Investigated for its potential to support neuronal health, cognitive performance and cellular resilience.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825,00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TB-500 10mg (Alt SKU)</w:t>
            </w:r>
          </w:p>
          <w:p>
            <w:r>
              <w:rPr>
                <w:color w:val="333333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1075,00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TB-500 5mg</w:t>
            </w:r>
          </w:p>
          <w:p>
            <w:r>
              <w:rPr>
                <w:color w:val="333333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775,00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VIP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Modulates immune responses, reduces inflammatory cytokines, improves gut-barrier function and protects neurons — studied in gut-immune-brain communication.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1575,00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BPC-157 5mg</w:t>
            </w:r>
          </w:p>
          <w:p>
            <w:r>
              <w:rPr>
                <w:color w:val="333333"/>
                <w:sz w:val="18"/>
                <w:szCs w:val="18"/>
              </w:rPr>
              <w:t xml:space="preserve">Promotes blood-vessel formation, reduces inflammation and protects cells from damage — studied to speed the healing response in soft tissue, gut lining and joints.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626,00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ARA-290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 non-erythropoietic EPO derivative studied for activating the innate repair receptor to reduce inflammation and support nerve and tissue repair.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745,00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KPV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 tripeptide fragment of alpha-MSH studied for its anti-inflammatory action in the gut and skin and for supporting tissue healing.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675,00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Sermorelin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 growth-hormone-releasing hormone analogue that signals the pituitary to release growth hormone naturally; studied for recovery, body composition and sleep.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1075,00</w:t>
            </w:r>
          </w:p>
        </w:tc>
      </w:tr>
    </w:tbl>
    <w:p>
      <w:r>
        <w:br w:type="page"/>
      </w:r>
    </w:p>
    <w:p>
      <w:pPr>
        <w:pBdr>
          <w:bottom w:val="single" w:color="AF8A3D" w:sz="8" w:space="4"/>
        </w:pBdr>
        <w:spacing w:after="0" w:before="160"/>
      </w:pPr>
      <w:r>
        <w:rPr>
          <w:b/>
          <w:bCs/>
          <w:color w:val="1A2A49"/>
          <w:sz w:val="32"/>
          <w:szCs w:val="32"/>
        </w:rPr>
        <w:t xml:space="preserve">2.  Metabolic &amp; Weight Management</w:t>
      </w:r>
    </w:p>
    <w:p>
      <w:pPr>
        <w:spacing w:after="140" w:before="80"/>
      </w:pPr>
      <w:r>
        <w:rPr>
          <w:i/>
          <w:iCs/>
          <w:color w:val="6B7280"/>
          <w:sz w:val="21"/>
          <w:szCs w:val="21"/>
        </w:rPr>
        <w:t xml:space="preserve">Compounds researched for fat metabolism, appetite regulation and body composition.</w:t>
      </w:r>
    </w:p>
    <w:tbl>
      <w:tblPr>
        <w:tblW w:type="dxa" w:w="10204"/>
        <w:tblBorders>
          <w:top w:val="single" w:color="D9DEE7" w:sz="4"/>
          <w:left w:val="single" w:color="D9DEE7" w:sz="4"/>
          <w:bottom w:val="single" w:color="D9DEE7" w:sz="4"/>
          <w:right w:val="single" w:color="D9DEE7" w:sz="4"/>
          <w:insideH w:val="single" w:color="D9DEE7" w:sz="4"/>
          <w:insideV w:val="single" w:color="D9DEE7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AOD-9604</w:t>
            </w:r>
          </w:p>
          <w:p>
            <w:r>
              <w:rPr>
                <w:color w:val="333333"/>
                <w:sz w:val="18"/>
                <w:szCs w:val="18"/>
              </w:rPr>
              <w:t xml:space="preserve">Mimics the way natural growth hormone regulates fat metabolism, helping break down stored fat and prevent new fat formation without the broader effects of full-length GH.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896,00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IGF-1 LR3</w:t>
            </w:r>
          </w:p>
          <w:p>
            <w:r>
              <w:rPr>
                <w:color w:val="333333"/>
                <w:sz w:val="18"/>
                <w:szCs w:val="18"/>
              </w:rPr>
              <w:t xml:space="preserve">Binds IGF-1 receptors to support anabolic signalling, protein synthesis, recovery pathways and metabolic regulation over an extended half-life.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1575,00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Kisspeptin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Activates the hypothalamic-pituitary-gonadal axis, stimulating release of LH and FSH — a core subject in reproductive-hormone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975,00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MOTS-c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815,00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MOTS-c 20mg</w:t>
            </w:r>
          </w:p>
          <w:p>
            <w:r>
              <w:rPr>
                <w:color w:val="333333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1075,00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MOTS-c 40mg</w:t>
            </w:r>
          </w:p>
          <w:p>
            <w:r>
              <w:rPr>
                <w:color w:val="333333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1375,00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NAD+ 500mg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Acts as a helper molecule in hundreds of metabolic processes, especially mitochondrial energy production; elevated NAD+ is studied for cellular energy and repair pathways central to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875,00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Retatrutide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1075,00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Retatrutide 20mg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1475,00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Retatrutide 30mg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1775,00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Retatrutide 40mg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2175,00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Tesamorelin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1176,00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Tesamorelin 20mg</w:t>
            </w:r>
          </w:p>
          <w:p>
            <w:r>
              <w:rPr>
                <w:color w:val="333333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1775,00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Tirzepatide</w:t>
            </w:r>
          </w:p>
          <w:p>
            <w:r>
              <w:rPr>
                <w:color w:val="333333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1276,00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Tesamorelin 5mg</w:t>
            </w:r>
          </w:p>
          <w:p>
            <w:r>
              <w:rPr>
                <w:color w:val="333333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926,00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5-Amino-1MQ 5mg</w:t>
            </w:r>
          </w:p>
          <w:p>
            <w:r>
              <w:rPr>
                <w:color w:val="333333"/>
                <w:sz w:val="18"/>
                <w:szCs w:val="18"/>
              </w:rPr>
              <w:t xml:space="preserve">Investigated for whether influencing NNMT pathways may affect energy expenditure, fat metabolism and body-composition regulation.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601,00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Lemon Bottle 10ml</w:t>
            </w:r>
          </w:p>
          <w:p>
            <w:r>
              <w:rPr>
                <w:color w:val="333333"/>
                <w:sz w:val="18"/>
                <w:szCs w:val="18"/>
              </w:rPr>
              <w:t xml:space="preserve">A lipolytic solution studied for localised fat breakdown; a research injectable investigated for body-contouring applications.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825,00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Mazdutide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 dual GLP-1 and glucagon receptor agonist studied for appetite regulation, glucose control and increased energy expenditure.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1575,00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NAD+ 1000mg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Acts as a helper molecule in hundreds of metabolic processes, especially mitochondrial energy production; elevated NAD+ is studied for cellular energy and repair pathways central to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1275,00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Semaglutide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 GLP-1 receptor agonist studied for glucose-dependent insulin secretion, appetite suppression and slowed gastric emptying.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Semaglutide 30mg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 GLP-1 receptor agonist studied for glucose-dependent insulin secretion, appetite suppression and slowed gastric emptying.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SLU-PP-332 5mg</w:t>
            </w:r>
          </w:p>
          <w:p>
            <w:r>
              <w:rPr>
                <w:color w:val="333333"/>
                <w:sz w:val="18"/>
                <w:szCs w:val="18"/>
              </w:rPr>
              <w:t xml:space="preserve">An ERR agonist ('exercise mimetic') studied for its potential to increase energy expenditure and fat oxidation without physical exertion.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Tirzepatide 15mg</w:t>
            </w:r>
          </w:p>
          <w:p>
            <w:r>
              <w:rPr>
                <w:color w:val="333333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975,00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Tirzepatide 30mg</w:t>
            </w:r>
          </w:p>
          <w:p>
            <w:r>
              <w:rPr>
                <w:color w:val="333333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1326,00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Tirzepatide 60mg</w:t>
            </w:r>
          </w:p>
          <w:p>
            <w:r>
              <w:rPr>
                <w:color w:val="333333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1875,00</w:t>
            </w:r>
          </w:p>
        </w:tc>
      </w:tr>
    </w:tbl>
    <w:p>
      <w:r>
        <w:br w:type="page"/>
      </w:r>
    </w:p>
    <w:p>
      <w:pPr>
        <w:pBdr>
          <w:bottom w:val="single" w:color="AF8A3D" w:sz="8" w:space="4"/>
        </w:pBdr>
        <w:spacing w:after="0" w:before="160"/>
      </w:pPr>
      <w:r>
        <w:rPr>
          <w:b/>
          <w:bCs/>
          <w:color w:val="1A2A49"/>
          <w:sz w:val="32"/>
          <w:szCs w:val="32"/>
        </w:rPr>
        <w:t xml:space="preserve">3.  Longevity &amp; Cellular Health</w:t>
      </w:r>
    </w:p>
    <w:p>
      <w:pPr>
        <w:spacing w:after="140" w:before="80"/>
      </w:pPr>
      <w:r>
        <w:rPr>
          <w:i/>
          <w:iCs/>
          <w:color w:val="6B7280"/>
          <w:sz w:val="21"/>
          <w:szCs w:val="21"/>
        </w:rPr>
        <w:t xml:space="preserve">Compounds researched for cellular ageing, mitochondrial function and immune signaling.</w:t>
      </w:r>
    </w:p>
    <w:tbl>
      <w:tblPr>
        <w:tblW w:type="dxa" w:w="10204"/>
        <w:tblBorders>
          <w:top w:val="single" w:color="D9DEE7" w:sz="4"/>
          <w:left w:val="single" w:color="D9DEE7" w:sz="4"/>
          <w:bottom w:val="single" w:color="D9DEE7" w:sz="4"/>
          <w:right w:val="single" w:color="D9DEE7" w:sz="4"/>
          <w:insideH w:val="single" w:color="D9DEE7" w:sz="4"/>
          <w:insideV w:val="single" w:color="D9DEE7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Epithalon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Activates telomerase to help lengthen telomeres and slow cellular ageing, and regulates melatonin production — linked to circadian and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686,00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Epithalon 50mg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Activates telomerase to help lengthen telomeres and slow cellular ageing, and regulates melatonin production — linked to circadian and longevity research.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1175,00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HCG 5000iu</w:t>
            </w:r>
          </w:p>
          <w:p>
            <w:r>
              <w:rPr>
                <w:color w:val="333333"/>
                <w:sz w:val="18"/>
                <w:szCs w:val="18"/>
              </w:rPr>
              <w:t xml:space="preserve">Investigated for its ability to stimulate endogenous testosterone production and support reproductive function.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775,00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Selank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Modulates GABA, serotonin and dopamine systems; studied for reducing anxiety and stress without sedation — a focus of cognitive and stress-response research.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896,00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Thymosin Alpha-1</w:t>
            </w:r>
          </w:p>
          <w:p>
            <w:r>
              <w:rPr>
                <w:color w:val="333333"/>
                <w:sz w:val="18"/>
                <w:szCs w:val="18"/>
              </w:rPr>
              <w:t xml:space="preserve">Investigated for its potential to support T-cell maturation, immune signalling and cytokine activity.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1325,00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Semax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Increases brain-derived neurotrophic factor (BDNF) to promote neuron growth and survival; studied for effects on focus, mood and cognitive performance.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896,00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SS-31 50mg</w:t>
            </w:r>
          </w:p>
          <w:p>
            <w:r>
              <w:rPr>
                <w:color w:val="333333"/>
                <w:sz w:val="18"/>
                <w:szCs w:val="18"/>
              </w:rPr>
              <w:t xml:space="preserve">Investigated for its ability to bind cardiolipin within the inner mitochondrial membrane, supporting mitochondrial efficiency and ATP production.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1875,00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FOXO4-DRI</w:t>
            </w:r>
          </w:p>
          <w:p>
            <w:r>
              <w:rPr>
                <w:color w:val="333333"/>
                <w:sz w:val="18"/>
                <w:szCs w:val="18"/>
              </w:rPr>
              <w:t xml:space="preserve">Disrupts the FOXO4-p53 interaction to allow apoptosis of senescent ('zombie') cells while largely sparing healthy cells — a focus of cellular-ageing research.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2175,00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SS-31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Investigated for its ability to bind cardiolipin within the inner mitochondrial membrane, supporting mitochondrial efficiency and ATP production.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1075,00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Glutathione 600mg</w:t>
            </w:r>
          </w:p>
          <w:p>
            <w:r>
              <w:rPr>
                <w:color w:val="333333"/>
                <w:sz w:val="18"/>
                <w:szCs w:val="18"/>
              </w:rPr>
              <w:t xml:space="preserve">The body's master antioxidant, studied for its role in cellular detoxification, oxidative-stress defence and skin brightening.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675,00</w:t>
            </w:r>
          </w:p>
        </w:tc>
      </w:tr>
    </w:tbl>
    <w:p>
      <w:r>
        <w:br w:type="page"/>
      </w:r>
    </w:p>
    <w:p>
      <w:pPr>
        <w:pBdr>
          <w:bottom w:val="single" w:color="AF8A3D" w:sz="8" w:space="4"/>
        </w:pBdr>
        <w:spacing w:after="0" w:before="160"/>
      </w:pPr>
      <w:r>
        <w:rPr>
          <w:b/>
          <w:bCs/>
          <w:color w:val="1A2A49"/>
          <w:sz w:val="32"/>
          <w:szCs w:val="32"/>
        </w:rPr>
        <w:t xml:space="preserve">4.  Specialty Combination Stacks</w:t>
      </w:r>
    </w:p>
    <w:p>
      <w:pPr>
        <w:spacing w:after="140" w:before="80"/>
      </w:pPr>
      <w:r>
        <w:rPr>
          <w:i/>
          <w:iCs/>
          <w:color w:val="6B7280"/>
          <w:sz w:val="21"/>
          <w:szCs w:val="21"/>
        </w:rPr>
        <w:t xml:space="preserve">Pre-combined multi-peptide blends researched for compounded effects across skin, tissue and recovery pathways.</w:t>
      </w:r>
    </w:p>
    <w:tbl>
      <w:tblPr>
        <w:tblW w:type="dxa" w:w="10204"/>
        <w:tblBorders>
          <w:top w:val="single" w:color="D9DEE7" w:sz="4"/>
          <w:left w:val="single" w:color="D9DEE7" w:sz="4"/>
          <w:bottom w:val="single" w:color="D9DEE7" w:sz="4"/>
          <w:right w:val="single" w:color="D9DEE7" w:sz="4"/>
          <w:insideH w:val="single" w:color="D9DEE7" w:sz="4"/>
          <w:insideV w:val="single" w:color="D9DEE7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Wolverine Blend - BPC-157 + TB-500 10mg (5mg+5mg)</w:t>
            </w:r>
          </w:p>
          <w:p>
            <w:r>
              <w:rPr>
                <w:color w:val="333333"/>
                <w:sz w:val="18"/>
                <w:szCs w:val="18"/>
              </w:rPr>
              <w:t xml:space="preserve">A BPC-157 + TB-500 blend (5mg+5mg): BPC-157 targets rapid localised repair of gut, tendons and ligaments while TB-500 promotes whole-body healing, flexibility and blood-vessel formation — researched for accelerated recovery across multiple tissue types.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976,00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BPC-157 + TB-500 20mg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 BPC-157 + TB-500 blend: BPC-157 targets rapid localised repair while TB-500 promotes whole-body healing, flexibility and blood-vessel formation — researched for accelerated recovery across multiple tissue types.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1376,00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GLOW Stack 70mg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 regeneration and skin-quality stack: GHK-Cu promotes collagen production and skin regeneration while companion peptides support tissue remodelling and structural repair as a combined formula.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1426,00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GHK-Cu 100mg</w:t>
            </w:r>
          </w:p>
          <w:p>
            <w:r>
              <w:rPr>
                <w:color w:val="333333"/>
                <w:sz w:val="18"/>
                <w:szCs w:val="18"/>
              </w:rPr>
              <w:t xml:space="preserve">Stimulates collagen and elastin production, promotes wound healing, reduces inflammation and acts as a powerful antioxidant; the copper complex is widely researched for skin, hair and tissue-remodelling applications.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975,00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GHK-Cu 50mg</w:t>
            </w:r>
          </w:p>
          <w:p>
            <w:r>
              <w:rPr>
                <w:color w:val="333333"/>
                <w:sz w:val="18"/>
                <w:szCs w:val="18"/>
              </w:rPr>
              <w:t xml:space="preserve">Stimulates collagen and elastin production, promotes wound healing, reduces inflammation and acts as a powerful antioxidant; the copper complex is widely researched for skin, hair and tissue-remodelling applications.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775,00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KLOW Stack 80mg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 KLOW stack: GHK-Cu promotes collagen production and copper delivery for skin and tissue regeneration while partner peptides support recovery, hydration and structural repair as a combined formula.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1626,00</w:t>
            </w:r>
          </w:p>
        </w:tc>
      </w:tr>
    </w:tbl>
    <w:p>
      <w:r>
        <w:br w:type="page"/>
      </w:r>
    </w:p>
    <w:p>
      <w:pPr>
        <w:pBdr>
          <w:bottom w:val="single" w:color="AF8A3D" w:sz="8" w:space="4"/>
        </w:pBdr>
        <w:spacing w:after="0" w:before="160"/>
      </w:pPr>
      <w:r>
        <w:rPr>
          <w:b/>
          <w:bCs/>
          <w:color w:val="1A2A49"/>
          <w:sz w:val="32"/>
          <w:szCs w:val="32"/>
        </w:rPr>
        <w:t xml:space="preserve">5.  Hormonal &amp; Vitality</w:t>
      </w:r>
    </w:p>
    <w:p>
      <w:pPr>
        <w:spacing w:after="140" w:before="80"/>
      </w:pPr>
      <w:r>
        <w:rPr>
          <w:i/>
          <w:iCs/>
          <w:color w:val="6B7280"/>
          <w:sz w:val="21"/>
          <w:szCs w:val="21"/>
        </w:rPr>
        <w:t xml:space="preserve">Compounds researched for hormonal signalling, pigmentation and vitality pathways.</w:t>
      </w:r>
    </w:p>
    <w:tbl>
      <w:tblPr>
        <w:tblW w:type="dxa" w:w="10204"/>
        <w:tblBorders>
          <w:top w:val="single" w:color="D9DEE7" w:sz="4"/>
          <w:left w:val="single" w:color="D9DEE7" w:sz="4"/>
          <w:bottom w:val="single" w:color="D9DEE7" w:sz="4"/>
          <w:right w:val="single" w:color="D9DEE7" w:sz="4"/>
          <w:insideH w:val="single" w:color="D9DEE7" w:sz="4"/>
          <w:insideV w:val="single" w:color="D9DEE7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Melanotan 2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Activates melanocortin receptors in skin cells to trigger melanin production for a protective tan with UV exposure; also studied for effects on appetite and libido.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776,00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PT-141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Activates melanocortin receptors in the hypothalamus to trigger natural sexual arousal and desire; unlike some approaches it does not act directly on blood flow.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755,00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Snap-8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Studied for its potential to influence neurotransmitter signalling associated with facial muscle contractions — a topical, cosmetic-research peptide.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675,00</w:t>
            </w:r>
          </w:p>
        </w:tc>
      </w:tr>
    </w:tbl>
    <w:p>
      <w:r>
        <w:br w:type="page"/>
      </w:r>
    </w:p>
    <w:p>
      <w:pPr>
        <w:pBdr>
          <w:bottom w:val="single" w:color="AF8A3D" w:sz="8" w:space="4"/>
        </w:pBdr>
        <w:spacing w:after="0" w:before="160"/>
      </w:pPr>
      <w:r>
        <w:rPr>
          <w:b/>
          <w:bCs/>
          <w:color w:val="1A2A49"/>
          <w:sz w:val="32"/>
          <w:szCs w:val="32"/>
        </w:rPr>
        <w:t xml:space="preserve">6.  Accessories &amp; Consumables</w:t>
      </w:r>
    </w:p>
    <w:p>
      <w:pPr>
        <w:spacing w:after="140" w:before="80"/>
      </w:pPr>
      <w:r>
        <w:rPr>
          <w:i/>
          <w:iCs/>
          <w:color w:val="6B7280"/>
          <w:sz w:val="21"/>
          <w:szCs w:val="21"/>
        </w:rPr>
        <w:t xml:space="preserve">Essential lab consumables and delivery accessories used alongside research compounds.</w:t>
      </w:r>
    </w:p>
    <w:tbl>
      <w:tblPr>
        <w:tblW w:type="dxa" w:w="10204"/>
        <w:tblBorders>
          <w:top w:val="single" w:color="D9DEE7" w:sz="4"/>
          <w:left w:val="single" w:color="D9DEE7" w:sz="4"/>
          <w:bottom w:val="single" w:color="D9DEE7" w:sz="4"/>
          <w:right w:val="single" w:color="D9DEE7" w:sz="4"/>
          <w:insideH w:val="single" w:color="D9DEE7" w:sz="4"/>
          <w:insideV w:val="single" w:color="D9DEE7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Bacteriostatic Water</w:t>
            </w:r>
          </w:p>
          <w:p>
            <w:r>
              <w:rPr>
                <w:color w:val="333333"/>
                <w:sz w:val="18"/>
                <w:szCs w:val="18"/>
              </w:rPr>
              <w:t xml:space="preserve">Sterile water containing a small amount of benzyl alcohol, used to reconstitute freeze-dried peptides prior to research use. Not a peptide — an essential laboratory consumable.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Bacteriostatic Water 10ml</w:t>
            </w:r>
          </w:p>
          <w:p>
            <w:r>
              <w:rPr>
                <w:color w:val="333333"/>
                <w:sz w:val="18"/>
                <w:szCs w:val="18"/>
              </w:rPr>
              <w:t xml:space="preserve">Sterile water containing a small amount of benzyl alcohol, used to reconstitute freeze-dried peptides prior to research use. Not a peptide — an essential laboratory consumable.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326,00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Cartridge</w:t>
            </w:r>
          </w:p>
          <w:p>
            <w:r>
              <w:rPr>
                <w:color w:val="333333"/>
                <w:sz w:val="18"/>
                <w:szCs w:val="18"/>
              </w:rPr>
              <w:t xml:space="preserve">Replacement cartridge accessory for compatible pen-style reconstitution and delivery devices.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72,00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6B7280"/>
                <w:sz w:val="16"/>
                <w:szCs w:val="16"/>
              </w:rPr>
              <w:t xml:space="preserve">No image</w:t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Disposable Pen</w:t>
            </w:r>
          </w:p>
          <w:p>
            <w:r>
              <w:rPr>
                <w:color w:val="333333"/>
                <w:sz w:val="18"/>
                <w:szCs w:val="18"/>
              </w:rPr>
              <w:t xml:space="preserve">Single-use pen device for convenient reconstitution and measured delivery of research compounds.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526,00</w:t>
            </w:r>
          </w:p>
        </w:tc>
      </w:tr>
    </w:tbl>
    <w:p>
      <w:r>
        <w:br w:type="page"/>
      </w:r>
    </w:p>
    <w:p>
      <w:pPr>
        <w:pBdr>
          <w:bottom w:val="single" w:color="AF8A3D" w:sz="8" w:space="4"/>
        </w:pBdr>
        <w:spacing w:after="0" w:before="160"/>
      </w:pPr>
      <w:r>
        <w:rPr>
          <w:b/>
          <w:bCs/>
          <w:color w:val="1A2A49"/>
          <w:sz w:val="32"/>
          <w:szCs w:val="32"/>
        </w:rPr>
        <w:t xml:space="preserve">7.  Options &amp; Delivery</w:t>
      </w:r>
    </w:p>
    <w:p>
      <w:pPr>
        <w:spacing w:after="140" w:before="80"/>
      </w:pPr>
      <w:r>
        <w:rPr>
          <w:i/>
          <w:iCs/>
          <w:color w:val="6B7280"/>
          <w:sz w:val="21"/>
          <w:szCs w:val="21"/>
        </w:rPr>
        <w:t xml:space="preserve">Temperature-controlled packaging and courier delivery options for your order.</w:t>
      </w:r>
    </w:p>
    <w:tbl>
      <w:tblPr>
        <w:tblW w:type="dxa" w:w="10204"/>
        <w:tblBorders>
          <w:top w:val="single" w:color="D9DEE7" w:sz="4"/>
          <w:left w:val="single" w:color="D9DEE7" w:sz="4"/>
          <w:bottom w:val="single" w:color="D9DEE7" w:sz="4"/>
          <w:right w:val="single" w:color="D9DEE7" w:sz="4"/>
          <w:insideH w:val="single" w:color="D9DEE7" w:sz="4"/>
          <w:insideV w:val="single" w:color="D9DEE7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Ice Pack</w:t>
            </w:r>
          </w:p>
          <w:p>
            <w:r>
              <w:rPr>
                <w:color w:val="333333"/>
                <w:sz w:val="18"/>
                <w:szCs w:val="18"/>
              </w:rPr>
              <w:t xml:space="preserve">Reusable ice pack for temperature-controlled shipping of research compounds.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35,00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Thermal Bag</w:t>
            </w:r>
          </w:p>
          <w:p>
            <w:r>
              <w:rPr>
                <w:color w:val="333333"/>
                <w:sz w:val="18"/>
                <w:szCs w:val="18"/>
              </w:rPr>
              <w:t xml:space="preserve">Insulated thermal bag for temperature-controlled delivery of research compounds.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100,00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Delivery Local</w:t>
            </w:r>
          </w:p>
          <w:p>
            <w:r>
              <w:rPr>
                <w:color w:val="333333"/>
                <w:sz w:val="18"/>
                <w:szCs w:val="18"/>
              </w:rPr>
              <w:t xml:space="preserve">Local courier delivery within the metro area.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145,00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Delivery National</w:t>
            </w:r>
          </w:p>
          <w:p>
            <w:r>
              <w:rPr>
                <w:color w:val="333333"/>
                <w:sz w:val="18"/>
                <w:szCs w:val="18"/>
              </w:rPr>
              <w:t xml:space="preserve">National courier delivery across South Africa.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249,00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300" w:right="851" w:bottom="1000" w:left="851" w:header="7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EE7" w:sz="4" w:space="4"/>
      </w:pBdr>
      <w:tabs>
        <w:tab w:val="right" w:pos="10204"/>
      </w:tabs>
    </w:pPr>
    <w:r>
      <w:rPr>
        <w:color w:val="6B7280"/>
        <w:sz w:val="16"/>
        <w:szCs w:val="16"/>
      </w:rPr>
      <w:t xml:space="preserve">Research Use Only — Prices ZAR,</w:t>
    </w:r>
    <w:r>
      <w:rPr>
        <w:sz w:val="16"/>
        <w:szCs w:val="16"/>
      </w:rPr>
      <w:t xml:space="preserve">	</w:t>
    </w: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of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EE7" w:sz="4" w:space="4"/>
      </w:pBdr>
    </w:pPr>
    <w:r>
      <w:drawing>
        <wp:inline distT="0" distB="0" distL="0" distR="0">
          <wp:extent cx="247650" cy="247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7650" cy="247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A2A49"/>
        <w:sz w:val="18"/>
        <w:szCs w:val="18"/>
      </w:rPr>
      <w:t xml:space="preserve">  THE MOLECULE CO.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dac9aa1c8f456f8dd80799c6327a7e55ee0eacbd.png"/><Relationship Id="rId12" Type="http://schemas.openxmlformats.org/officeDocument/2006/relationships/image" Target="media/3736407926639ef6d088f9a04d2210df5dd74c27.png"/><Relationship Id="rId13" Type="http://schemas.openxmlformats.org/officeDocument/2006/relationships/image" Target="media/92ce8ca1c36ecac7258751c50466e2f40475cfaa.png"/><Relationship Id="rId14" Type="http://schemas.openxmlformats.org/officeDocument/2006/relationships/image" Target="media/815087ad1c33bf06ed5d701819515b12166b6388.png"/><Relationship Id="rId15" Type="http://schemas.openxmlformats.org/officeDocument/2006/relationships/image" Target="media/8c03582163f06966c30c0e62184aa840c22816a4.png"/><Relationship Id="rId16" Type="http://schemas.openxmlformats.org/officeDocument/2006/relationships/image" Target="media/694aed10682eeacbebd54ce1a9f7133b44d96a8c.png"/><Relationship Id="rId17" Type="http://schemas.openxmlformats.org/officeDocument/2006/relationships/image" Target="media/f59557f6145f24cddfd0fe2a05aa76cae8eaf81c.png"/><Relationship Id="rId18" Type="http://schemas.openxmlformats.org/officeDocument/2006/relationships/image" Target="media/4fa98437ee8cb22d74774c1413204999296b68f3.png"/><Relationship Id="rId19" Type="http://schemas.openxmlformats.org/officeDocument/2006/relationships/image" Target="media/0879b4291b501591d23b7d96660ba0bceb837fac.png"/><Relationship Id="rId20" Type="http://schemas.openxmlformats.org/officeDocument/2006/relationships/image" Target="media/57c86cd1df34831cb16b0c5c30e6ba9400b34dfa.png"/><Relationship Id="rId21" Type="http://schemas.openxmlformats.org/officeDocument/2006/relationships/image" Target="media/40768dd1907b88bd2cb7ecc9c009e0f486a91e0b.png"/><Relationship Id="rId22" Type="http://schemas.openxmlformats.org/officeDocument/2006/relationships/image" Target="media/c4bddb69a5574c93705546e83093d2c430d8d712.png"/><Relationship Id="rId23" Type="http://schemas.openxmlformats.org/officeDocument/2006/relationships/image" Target="media/313258f9ceaf336d0d3540d244ff51e694c673a0.png"/><Relationship Id="rId24" Type="http://schemas.openxmlformats.org/officeDocument/2006/relationships/image" Target="media/849df6516f8d1a04508a5eef0c5f41e422b42f7b.png"/><Relationship Id="rId25" Type="http://schemas.openxmlformats.org/officeDocument/2006/relationships/image" Target="media/d716af5d8a9a2aa8e4c2e49ccbc157c4ac577ef9.png"/><Relationship Id="rId26" Type="http://schemas.openxmlformats.org/officeDocument/2006/relationships/image" Target="media/3a5519105df311f0f61059a02574de11c63e99be.png"/><Relationship Id="rId27" Type="http://schemas.openxmlformats.org/officeDocument/2006/relationships/image" Target="media/fd932092e96cb8e772b91212c90f8c5637ec1b89.png"/><Relationship Id="rId28" Type="http://schemas.openxmlformats.org/officeDocument/2006/relationships/image" Target="media/2608bfb3166960370a6a7abe4f5fc097f65ffdf4.png"/><Relationship Id="rId29" Type="http://schemas.openxmlformats.org/officeDocument/2006/relationships/image" Target="media/5d8e711a07a525b3ddbcf4747f3c2310f9a3fa8e.png"/><Relationship Id="rId30" Type="http://schemas.openxmlformats.org/officeDocument/2006/relationships/image" Target="media/24462dfe62ff14ca5150ffe8b31a35ffd83ac8cf.png"/><Relationship Id="rId31" Type="http://schemas.openxmlformats.org/officeDocument/2006/relationships/image" Target="media/fc3aa096b0ee96e03faebed23849aaa12b8eb446.png"/><Relationship Id="rId32" Type="http://schemas.openxmlformats.org/officeDocument/2006/relationships/image" Target="media/bb85155a2e58b2a12119cae685b2e2e03c22c633.png"/><Relationship Id="rId33" Type="http://schemas.openxmlformats.org/officeDocument/2006/relationships/image" Target="media/54d1a9502201bb83c3d9b012b013aa80ee899bd9.png"/><Relationship Id="rId34" Type="http://schemas.openxmlformats.org/officeDocument/2006/relationships/image" Target="media/c1a4dddfa37060e72b31516647305b1570c06730.png"/><Relationship Id="rId35" Type="http://schemas.openxmlformats.org/officeDocument/2006/relationships/image" Target="media/5ff78769c6fc23d1641c72d3b69456660f842920.png"/><Relationship Id="rId36" Type="http://schemas.openxmlformats.org/officeDocument/2006/relationships/image" Target="media/54b0fafdf5a65488891cf9e3d6d450f2b624fd01.png"/><Relationship Id="rId37" Type="http://schemas.openxmlformats.org/officeDocument/2006/relationships/image" Target="media/ad868b3cd9a8f3228445848f4a0398d6ae0faaac.png"/><Relationship Id="rId38" Type="http://schemas.openxmlformats.org/officeDocument/2006/relationships/image" Target="media/1dfcdf66a12d7023d821a6ed28a287be266ec180.png"/><Relationship Id="rId39" Type="http://schemas.openxmlformats.org/officeDocument/2006/relationships/image" Target="media/806d9b58d3ba5f509c3c6b9c3def28401b90e293.png"/><Relationship Id="rId40" Type="http://schemas.openxmlformats.org/officeDocument/2006/relationships/image" Target="media/cce3cb9b60d06692880c070685618ebab3764f39.png"/><Relationship Id="rId41" Type="http://schemas.openxmlformats.org/officeDocument/2006/relationships/image" Target="media/5e070b843695e4b985ddef828b0bb220f6285ccd.png"/><Relationship Id="rId42" Type="http://schemas.openxmlformats.org/officeDocument/2006/relationships/image" Target="media/002a9bc8807daf29d2229bc5061276a807c9fc9f.png"/><Relationship Id="rId43" Type="http://schemas.openxmlformats.org/officeDocument/2006/relationships/image" Target="media/db3f8a252ce83f7094a4640e674a7c95aafa8bf7.png"/><Relationship Id="rId44" Type="http://schemas.openxmlformats.org/officeDocument/2006/relationships/image" Target="media/a924913afc78aad8cc6bedaf7a192866fd6f6048.png"/><Relationship Id="rId45" Type="http://schemas.openxmlformats.org/officeDocument/2006/relationships/image" Target="media/e1d8f7cb280edba6242c65742910b4c4ab574299.png"/><Relationship Id="rId46" Type="http://schemas.openxmlformats.org/officeDocument/2006/relationships/image" Target="media/cc4d5f07db9bdcebe651340b75eb6f25761ce88e.png"/><Relationship Id="rId47" Type="http://schemas.openxmlformats.org/officeDocument/2006/relationships/image" Target="media/2893d547f935c55f5907eb46bbf638ed7955c336.png"/><Relationship Id="rId48" Type="http://schemas.openxmlformats.org/officeDocument/2006/relationships/image" Target="media/5fa1cf4c7b0c1f166fdba9b4449ccfc88ac0df37.png"/><Relationship Id="rId49" Type="http://schemas.openxmlformats.org/officeDocument/2006/relationships/image" Target="media/e2d51f58ccacc8c26a2ff81e5cfbdb97a1caaa68.png"/><Relationship Id="rId50" Type="http://schemas.openxmlformats.org/officeDocument/2006/relationships/image" Target="media/5e339f0adc211c24abd1e222ffc5c8365773816a.png"/><Relationship Id="rId51" Type="http://schemas.openxmlformats.org/officeDocument/2006/relationships/image" Target="media/07e88afef4a7041e4af0494f75087c069c1fc45f.png"/><Relationship Id="rId52" Type="http://schemas.openxmlformats.org/officeDocument/2006/relationships/image" Target="media/4b86cb421084c828146a4d6afb79c2965471793f.png"/><Relationship Id="rId53" Type="http://schemas.openxmlformats.org/officeDocument/2006/relationships/image" Target="media/39e95316a595279b08a51efedd136a872923c67a.png"/><Relationship Id="rId54" Type="http://schemas.openxmlformats.org/officeDocument/2006/relationships/image" Target="media/1e310eca2cae562840f16f7885949aacdc51c229.png"/><Relationship Id="rId55" Type="http://schemas.openxmlformats.org/officeDocument/2006/relationships/image" Target="media/a0c3169cd20a99777961cad757a20e2e20bb9eb8.png"/><Relationship Id="rId56" Type="http://schemas.openxmlformats.org/officeDocument/2006/relationships/image" Target="media/1d48f09fba2753589bd742732c3ee0eecd9e3d2e.png"/><Relationship Id="rId57" Type="http://schemas.openxmlformats.org/officeDocument/2006/relationships/image" Target="media/055bd9f136a0381f8cc9960cdc5f34fc6436dc9a.png"/><Relationship Id="rId58" Type="http://schemas.openxmlformats.org/officeDocument/2006/relationships/image" Target="media/38fdba056bd8ed89c8044ba76a603d680a8b0be0.png"/><Relationship Id="rId59" Type="http://schemas.openxmlformats.org/officeDocument/2006/relationships/image" Target="media/b3863126f1871f48b7cadd456e52c5aa7ec155de.png"/><Relationship Id="rId60" Type="http://schemas.openxmlformats.org/officeDocument/2006/relationships/image" Target="media/cabaa697b95a6fd3ea114ec6bb10880a95930b4b.png"/><Relationship Id="rId61" Type="http://schemas.openxmlformats.org/officeDocument/2006/relationships/image" Target="media/b4bd7abddcef250d4a8dfe70ef93828cf0484511.png"/><Relationship Id="rId62" Type="http://schemas.openxmlformats.org/officeDocument/2006/relationships/image" Target="media/2d84b0e807f7b310a8c9913b720a6548bcd05994.png"/><Relationship Id="rId63" Type="http://schemas.openxmlformats.org/officeDocument/2006/relationships/image" Target="media/8bc7b6881902aaf4901ffebee0784ca063341649.png"/><Relationship Id="rId64" Type="http://schemas.openxmlformats.org/officeDocument/2006/relationships/image" Target="media/8f304191551fe2ca9c372fb50d44184a60be1da2.png"/><Relationship Id="rId65" Type="http://schemas.openxmlformats.org/officeDocument/2006/relationships/image" Target="media/ffef050430b70db20b60df5b09115a4a09dfad68.png"/><Relationship Id="rId66" Type="http://schemas.openxmlformats.org/officeDocument/2006/relationships/image" Target="media/55db1c462e22a598649122f51cd1eb142505e39c.png"/><Relationship Id="rId67" Type="http://schemas.openxmlformats.org/officeDocument/2006/relationships/image" Target="media/d4fc09c7d28bf15ff0d62d9841e132dba8f043c4.png"/><Relationship Id="rId68" Type="http://schemas.openxmlformats.org/officeDocument/2006/relationships/image" Target="media/c2f724784e086b22150be58a9f20133e9b5b4d56.png"/><Relationship Id="rId69" Type="http://schemas.openxmlformats.org/officeDocument/2006/relationships/image" Target="media/3eb46cf6c778edf070c03eb623e5892625d70dbb.png"/><Relationship Id="rId70" Type="http://schemas.openxmlformats.org/officeDocument/2006/relationships/image" Target="media/73e08682ad8e76ade9694e7198ca39b91522d633.png"/><Relationship Id="rId71" Type="http://schemas.openxmlformats.org/officeDocument/2006/relationships/image" Target="media/f4496dc0eda7a607e3d41890e80f1cec45216d34.png"/><Relationship Id="rId72" Type="http://schemas.openxmlformats.org/officeDocument/2006/relationships/image" Target="media/70a33577098137899fbd5733b427eab2483d28c8.png"/><Relationship Id="rId7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dfe5164d0e5b3ae727d0a0ba4f5bd85824705e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Molecule Co. — Research Compound Catalogue Price Schedule</dc:title>
  <dc:creator>The Molecule Co.</dc:creator>
  <cp:lastModifiedBy>Un-named</cp:lastModifiedBy>
  <cp:revision>1</cp:revision>
  <dcterms:created xsi:type="dcterms:W3CDTF">2026-07-28T19:27:41.971Z</dcterms:created>
  <dcterms:modified xsi:type="dcterms:W3CDTF">2026-07-28T19:27:41.971Z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