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Complete</w:t>
      </w:r>
      <w:r>
        <w:t xml:space="preserve"> </w:t>
      </w:r>
      <w:r>
        <w:t xml:space="preserve">Analyis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Algebra</w:t>
      </w:r>
      <w:r>
        <w:t xml:space="preserve"> </w:t>
      </w:r>
      <w:r>
        <w:t xml:space="preserve">I</w:t>
      </w:r>
      <w:r>
        <w:t xml:space="preserve"> </w:t>
      </w:r>
      <w:r>
        <w:t xml:space="preserve">Regents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Russell</w:t>
      </w:r>
    </w:p>
    <w:p>
      <w:pPr>
        <w:pStyle w:val="Date"/>
      </w:pPr>
      <w:r>
        <w:t xml:space="preserve">2023-01-20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40C5FF"/>
              <w:bottom w:val="single" w:sz="16" w:space="0" w:color="ECECEC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Question.Number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Domain</w:t>
            </w:r>
          </w:p>
        </w:tc>
        <w:tc>
          <w:tcPr>
            <w:tcBorders>
              <w:top w:val="single" w:sz="16" w:space="0" w:color="40C5FF"/>
              <w:bottom w:val="single" w:sz="16" w:space="0" w:color="ECECEC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Percentage.Correct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F-LE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Linear, Quadratic, and Exponential Models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F-BF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Building Functions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F-IF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Interpreting Functions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S-ID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Interpreting Categorical and Quantitative Data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F-IF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Interpreting Functions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S-ID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Interpreting Categorical and Quantitative Data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S-ID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Interpreting Categorical and Quantitative Data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A-SSE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Seeing Structure in Expressions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A-APR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Arithmetic with Polynomials and Rational Expressions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A-CED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Creating Equations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</w:tbl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06"/>
        <w:gridCol w:w="734"/>
        <w:gridCol w:w="4327"/>
        <w:gridCol w:w="155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Question.Number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Percentage.Correct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Linear, Quadratic, and Exponential Models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Functions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Interpreting Functions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Interpreting Categorical and Quantitative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Interpreting Functions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Interpreting Categorical and Quantitative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S-ID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Interpreting Categorical and Quantitative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Seeing Structure in Expressions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Arithmetic with Polynomials and Rational Expressions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Creating Equations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</w:tbl>
    <w:bookmarkStart w:id="21" w:name="classification"/>
    <w:p>
      <w:pPr>
        <w:pStyle w:val="Heading1"/>
      </w:pPr>
      <w:r>
        <w:t xml:space="preserve">Classification</w:t>
      </w:r>
    </w:p>
    <w:bookmarkStart w:id="20" w:name="Xb44c197035a081528612564592fa5b06620ab39"/>
    <w:p>
      <w:pPr>
        <w:pStyle w:val="Heading3"/>
      </w:pPr>
      <w:r>
        <w:t xml:space="preserve">To classify the data by difficulty levels, we will use a common technique called</w:t>
      </w:r>
      <w:r>
        <w:t xml:space="preserve"> </w:t>
      </w:r>
      <w:r>
        <w:t xml:space="preserve">“</w:t>
      </w:r>
      <w:r>
        <w:t xml:space="preserve">Jenks Natural Breaks Classification.</w:t>
      </w:r>
      <w:r>
        <w:t xml:space="preserve">”</w:t>
      </w:r>
      <w:r>
        <w:t xml:space="preserve"> </w:t>
      </w:r>
      <w:r>
        <w:t xml:space="preserve">This method seeks to minimize the average deviation from the class mean while maximizing the deviation from the means of the other groups. The result is the arrangement</w:t>
      </w:r>
    </w:p>
    <w:p>
      <w:pPr>
        <w:pStyle w:val="FirstParagraph"/>
      </w:pPr>
      <w:r>
        <w:t xml:space="preserve">```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Complete Analyis of the Algebra I Regents Exam</dc:title>
  <dc:creator>John Russell</dc:creator>
  <cp:keywords/>
  <dcterms:created xsi:type="dcterms:W3CDTF">2023-01-20T05:22:16Z</dcterms:created>
  <dcterms:modified xsi:type="dcterms:W3CDTF">2023-01-20T05:22:16Z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2023-01-20</vt:lpwstr>
  </property>
  <property fmtid="{D5CDD505-2E9C-101B-9397-08002B2CF9AE}" pid="3" name="output">
    <vt:lpwstr/>
  </property>
</Properties>
</file>