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app0.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schemas.openxmlformats.org/officeDocument/2006/relationships/extendedProperties" Target="docProps/app0.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4CF8ED0F" w14:textId="77777777" w:rsidR="00D7522C" w:rsidRDefault="009303D9" w:rsidP="001E1C43">
      <w:pPr>
        <w:pStyle w:val="papertitle"/>
        <w:spacing w:before="5pt" w:beforeAutospacing="1" w:after="5pt" w:afterAutospacing="1"/>
      </w:pPr>
      <w:r>
        <w:t>AI-Integrated Church Financial Management System with Budget Encumbrance, OCR-Assisted Posting, and Prescriptive Optimization</w:t>
      </w:r>
    </w:p>
    <w:p w14:paraId="0AE97224" w14:textId="77777777" w:rsidR="001E1C43" w:rsidRDefault="001E1C43" w:rsidP="001E1C43">
      <w:pPr>
        <w:pStyle w:val="papertitle"/>
        <w:spacing w:after="5pt" w:afterAutospacing="1"/>
        <w:jc w:val="both"/>
        <w:rPr>
          <w:sz w:val="18"/>
          <w:szCs w:val="18"/>
        </w:rPr>
      </w:pPr>
    </w:p>
    <w:p w14:paraId="440DBACD" w14:textId="7C38F4A7" w:rsidR="001E1C43" w:rsidRPr="001E1C43" w:rsidRDefault="001E1C43" w:rsidP="001E1C43">
      <w:pPr>
        <w:pStyle w:val="papertitle"/>
        <w:spacing w:after="0pt" w:line="1.15pt" w:lineRule="atLeast"/>
        <w:ind w:firstLine="13.70pt"/>
        <w:rPr>
          <w:sz w:val="18"/>
          <w:szCs w:val="18"/>
        </w:rPr>
        <w:sectPr w:rsidR="001E1C43" w:rsidRPr="001E1C43" w:rsidSect="001A3B3D">
          <w:footerReference w:type="first" r:id="rId8"/>
          <w:pgSz w:w="612pt" w:h="792pt" w:code="1"/>
          <w:pgMar w:top="54pt" w:right="44.65pt" w:bottom="72pt" w:left="44.65pt" w:header="36pt" w:footer="36pt" w:gutter="0pt"/>
          <w:cols w:space="36pt"/>
          <w:titlePg/>
          <w:docGrid w:linePitch="360"/>
        </w:sectPr>
      </w:pPr>
      <w:r w:rsidRPr="001E1C43">
        <w:rPr>
          <w:sz w:val="18"/>
          <w:szCs w:val="18"/>
        </w:rPr>
        <w:t>JOHN HERALD R. GANTUANGCO</w:t>
      </w:r>
      <w:r>
        <w:rPr>
          <w:sz w:val="18"/>
          <w:szCs w:val="18"/>
        </w:rPr>
        <w:t xml:space="preserve">                                                                                                                                                              </w:t>
      </w:r>
      <w:r w:rsidRPr="001E1C43">
        <w:rPr>
          <w:sz w:val="18"/>
          <w:szCs w:val="18"/>
        </w:rPr>
        <w:t>Cebu Technological University, Cebu, Philippines</w:t>
      </w:r>
      <w:r>
        <w:rPr>
          <w:sz w:val="18"/>
          <w:szCs w:val="18"/>
        </w:rPr>
        <w:t xml:space="preserve">                                                                                                                                                      </w:t>
      </w:r>
      <w:r w:rsidRPr="001E1C43">
        <w:rPr>
          <w:sz w:val="18"/>
          <w:szCs w:val="18"/>
        </w:rPr>
        <w:t>Email: johnherald.gantuangco@cit.ed</w:t>
      </w:r>
      <w:r>
        <w:rPr>
          <w:sz w:val="18"/>
          <w:szCs w:val="18"/>
        </w:rPr>
        <w:t>u</w:t>
      </w:r>
    </w:p>
    <w:p w14:paraId="2673C86C" w14:textId="77777777" w:rsidR="009303D9" w:rsidRPr="005B520E" w:rsidRDefault="009303D9" w:rsidP="001E1C43">
      <w:pPr>
        <w:spacing w:line="1.15pt" w:lineRule="atLeast"/>
        <w:jc w:val="both"/>
        <w:sectPr w:rsidR="009303D9" w:rsidRPr="005B520E">
          <w:type w:val="continuous"/>
          <w:pgSz w:w="612pt" w:h="792pt" w:code="1"/>
          <w:pgMar w:top="54pt" w:right="44.65pt" w:bottom="72pt" w:left="44.65pt" w:header="36pt" w:footer="36pt" w:gutter="0pt"/>
          <w:cols w:space="36pt"/>
          <w:docGrid w:linePitch="360"/>
        </w:sectPr>
      </w:pPr>
    </w:p>
    <w:p w14:paraId="1D5E7AC8" w14:textId="77777777" w:rsidR="00CA4392" w:rsidRPr="00F847A6" w:rsidRDefault="00CA4392" w:rsidP="001E1C43">
      <w:pPr>
        <w:pStyle w:val="Author"/>
        <w:spacing w:before="0pt" w:after="0pt" w:line="1.15pt" w:lineRule="atLeast"/>
        <w:jc w:val="both"/>
        <w:rPr>
          <w:sz w:val="16"/>
          <w:szCs w:val="16"/>
        </w:rPr>
        <w:sectPr w:rsidR="00CA4392" w:rsidRPr="00F847A6" w:rsidSect="00F847A6">
          <w:type w:val="continuous"/>
          <w:pgSz w:w="612pt" w:h="792pt" w:code="1"/>
          <w:pgMar w:top="54pt" w:right="44.65pt" w:bottom="72pt" w:left="44.65pt" w:header="36pt" w:footer="36pt" w:gutter="0pt"/>
          <w:cols w:num="4" w:space="10.80pt"/>
          <w:docGrid w:linePitch="360"/>
        </w:sectPr>
      </w:pPr>
    </w:p>
    <w:p w14:paraId="29003A7C" w14:textId="77777777" w:rsidR="006347CF" w:rsidRPr="00F847A6" w:rsidRDefault="006347CF" w:rsidP="001E1C43">
      <w:pPr>
        <w:pStyle w:val="Author"/>
        <w:spacing w:before="0pt" w:after="0pt" w:line="1.15pt" w:lineRule="atLeast"/>
        <w:jc w:val="both"/>
        <w:rPr>
          <w:sz w:val="16"/>
          <w:szCs w:val="16"/>
        </w:rPr>
        <w:sectPr w:rsidR="006347CF" w:rsidRPr="00F847A6" w:rsidSect="00F847A6">
          <w:type w:val="continuous"/>
          <w:pgSz w:w="612pt" w:h="792pt" w:code="1"/>
          <w:pgMar w:top="54pt" w:right="44.65pt" w:bottom="72pt" w:left="44.65pt" w:header="36pt" w:footer="36pt" w:gutter="0pt"/>
          <w:cols w:num="4" w:space="10.80pt"/>
          <w:docGrid w:linePitch="360"/>
        </w:sectPr>
      </w:pPr>
    </w:p>
    <w:p w14:paraId="169ACC9B" w14:textId="77777777" w:rsidR="001E1C43" w:rsidRDefault="001E1C43" w:rsidP="001E1C43">
      <w:pPr>
        <w:pStyle w:val="Abstract"/>
        <w:spacing w:after="0pt" w:line="1.15pt" w:lineRule="atLeast"/>
        <w:ind w:firstLine="0pt"/>
        <w:sectPr w:rsidR="001E1C43">
          <w:type w:val="continuous"/>
          <w:pgSz w:w="612pt" w:h="792pt" w:code="1"/>
          <w:pgMar w:top="54pt" w:right="44.65pt" w:bottom="72pt" w:left="44.65pt" w:header="36pt" w:footer="36pt" w:gutter="0pt"/>
          <w:cols w:space="36pt"/>
          <w:docGrid w:linePitch="360"/>
        </w:sectPr>
      </w:pPr>
    </w:p>
    <w:p w14:paraId="4C243BF2" w14:textId="77777777" w:rsidR="001E1C43" w:rsidRDefault="001E1C43" w:rsidP="001E1C43">
      <w:pPr>
        <w:pStyle w:val="Abstract"/>
        <w:spacing w:after="0pt" w:line="1.15pt" w:lineRule="atLeast"/>
        <w:ind w:firstLine="0pt"/>
        <w:sectPr w:rsidR="001E1C43" w:rsidSect="001E1C43">
          <w:type w:val="continuous"/>
          <w:pgSz w:w="612pt" w:h="792pt" w:code="1"/>
          <w:pgMar w:top="54pt" w:right="44.65pt" w:bottom="72pt" w:left="44.65pt" w:header="36pt" w:footer="36pt" w:gutter="0pt"/>
          <w:cols w:num="2" w:space="36pt"/>
          <w:docGrid w:linePitch="360"/>
        </w:sectPr>
      </w:pPr>
    </w:p>
    <w:p w14:paraId="6EA09C24" w14:textId="77777777" w:rsidR="001E1C43" w:rsidRDefault="001E1C43" w:rsidP="001E1C43">
      <w:pPr>
        <w:pStyle w:val="Abstract"/>
        <w:spacing w:after="0pt" w:line="1.15pt" w:lineRule="atLeast"/>
        <w:ind w:firstLine="0pt"/>
        <w:sectPr w:rsidR="001E1C43" w:rsidSect="001E1C43">
          <w:type w:val="continuous"/>
          <w:pgSz w:w="612pt" w:h="792pt" w:code="1"/>
          <w:pgMar w:top="54pt" w:right="44.65pt" w:bottom="72pt" w:left="44.65pt" w:header="36pt" w:footer="36pt" w:gutter="0pt"/>
          <w:cols w:space="36pt"/>
          <w:docGrid w:linePitch="360"/>
        </w:sectPr>
      </w:pPr>
    </w:p>
    <w:p w14:paraId="08D06E4F" w14:textId="77777777" w:rsidR="004D72B5" w:rsidRDefault="009303D9" w:rsidP="001E1C43">
      <w:pPr>
        <w:pStyle w:val="Abstract"/>
        <w:spacing w:after="0pt" w:line="1.15pt" w:lineRule="atLeast"/>
        <w:ind w:firstLine="0pt"/>
        <w:rPr>
          <w:i/>
          <w:iCs/>
        </w:rPr>
      </w:pPr>
      <w:r>
        <w:t>Abstract—Faith-based organizations increasingly face pressure to demonstrate transparent, accountable stewardship of donated funds while operating with limited finance personnel and largely manual processes. This paper presents an AI-Integrated Church Financial Management System that combines (i) role-based access control (RBAC) and policy-driven approval workflows, (ii) budgetary control with real-time encumbrance-style reservation upon approval, (iii) unified ledger and bank-side cash position tracking with transfers and balance snapshots, and (iv) receipt OCR integration to accelerate posting and improve audit evidence completeness. In addition, the system offers analytics that compute burn-rate, seasonality, and category mix, and produces a Financial Health status (Healthy/Caution/Deficit Risk) with ministry priority suggestions (1–10). A prescriptive budget optimizer based on linear/integer programming recommends allocations consistent with ministry priorities and financial constraints, supporting scenario sandboxing via priority sliders. The proposed design emphasizes explainability, segregation of duties, and audit readiness, enabling data-driven financial stewardship that supports sustainability, transparency, and mission alignment.</w:t>
      </w:r>
    </w:p>
    <w:p w14:paraId="0D8A87F2" w14:textId="77777777" w:rsidR="001E1C43" w:rsidRDefault="001E1C43" w:rsidP="00972203">
      <w:pPr>
        <w:pStyle w:val="Keywords"/>
      </w:pPr>
    </w:p>
    <w:p w14:paraId="3F247636" w14:textId="5769B67C" w:rsidR="009303D9" w:rsidRPr="004D72B5" w:rsidRDefault="004D72B5" w:rsidP="00972203">
      <w:pPr>
        <w:pStyle w:val="Keywords"/>
      </w:pPr>
      <w:r>
        <w:t>Index Terms— Church finance, budgeting, encumbrance, RBAC, OCR, prescriptive analytics, integer programming, audit trail</w:t>
      </w:r>
    </w:p>
    <w:p w14:paraId="74D7C138" w14:textId="77777777" w:rsidR="001F7FE2" w:rsidRDefault="00000000">
      <w:pPr>
        <w:pStyle w:val="Heading1"/>
      </w:pPr>
      <w:r>
        <w:t>I. INTRODUCTION</w:t>
      </w:r>
    </w:p>
    <w:p w14:paraId="141C65C0" w14:textId="77777777" w:rsidR="001F7FE2" w:rsidRDefault="00000000">
      <w:pPr>
        <w:pStyle w:val="BodyText"/>
      </w:pPr>
      <w:r>
        <w:t>Church organizations handle multiple income streams—tithes, offerings, donations, and other income—while funding ministry programs (e.g., Men, Women, Youth, and Children) and general operational expenses. In many churches, financial operations remain dependent on manual logs or spreadsheets, which increases the likelihood of delayed posting, incomplete documentation, and inconsistent enforcement of budget limits. In parallel, leadership expects timely reports for stewardship, planning, and accountability to donors and members. These operational conditions motivate a financial system that enforces budget discipline, supports auditable approvals, and produces actionable insights.</w:t>
      </w:r>
    </w:p>
    <w:p w14:paraId="20783983" w14:textId="77777777" w:rsidR="001F7FE2" w:rsidRDefault="00000000">
      <w:pPr>
        <w:pStyle w:val="BodyText"/>
      </w:pPr>
      <w:r>
        <w:t xml:space="preserve">This paper proposes an AI-Integrated Church Financial Management System (AICFMS) centered on (1) a Church </w:t>
      </w:r>
      <w:r>
        <w:t>Budgeting Module with releases and balances, (2) a branched approval workflow reflecting church governance, (3) encumbrance-style reservation at approval time to prevent overspending, (4) receipt OCR to reduce posting burden and improve audit evidence, and (5) analytics and prescriptive optimization to guide allocation decisions. The solution is designed to be policy-driven and explainable: it records who approved, released, and posted each transaction with timestamps and notifications, and it explains optimization recommendations through explicit constraints and priority weights.</w:t>
      </w:r>
    </w:p>
    <w:p w14:paraId="3F432A5C" w14:textId="582C0EB5" w:rsidR="001F7FE2" w:rsidRDefault="00000000">
      <w:pPr>
        <w:pStyle w:val="Heading1"/>
      </w:pPr>
      <w:r>
        <w:t>RELATED LITERATURE</w:t>
      </w:r>
    </w:p>
    <w:p w14:paraId="0EBCE81D" w14:textId="701DA2A3" w:rsidR="001F7FE2" w:rsidRDefault="00000000">
      <w:pPr>
        <w:pStyle w:val="Heading2"/>
      </w:pPr>
      <w:r>
        <w:t>Role-Based Access Control (RBAC)</w:t>
      </w:r>
    </w:p>
    <w:p w14:paraId="0021481A" w14:textId="77777777" w:rsidR="001F7FE2" w:rsidRDefault="00000000">
      <w:pPr>
        <w:pStyle w:val="BodyText"/>
      </w:pPr>
      <w:r>
        <w:t>RBAC assigns permissions to roles and roles to users, enabling scalable administration and least-privilege enforcement. The NIST RBAC model formalizes core RBAC, role hierarchies, and constraints such as separation of duties, providing a foundation for permission-gated actions in financial systems [1]. Li and Tripunitara critique the ANSI RBAC standard and clarify model interpretation issues relevant to implementers [2]. The ANSI INCITS 359-2004 standard specifies both a reference model and functional requirements for RBAC systems [3].</w:t>
      </w:r>
    </w:p>
    <w:p w14:paraId="17D7BD54" w14:textId="3BFC281E" w:rsidR="001F7FE2" w:rsidRDefault="00000000">
      <w:pPr>
        <w:pStyle w:val="Heading2"/>
      </w:pPr>
      <w:r>
        <w:t>Budgetary Control and Encumbrance Accounting</w:t>
      </w:r>
    </w:p>
    <w:p w14:paraId="4A86F59D" w14:textId="77777777" w:rsidR="001F7FE2" w:rsidRDefault="00000000">
      <w:pPr>
        <w:pStyle w:val="BodyText"/>
      </w:pPr>
      <w:r>
        <w:t>Public-sector accounting guidance documents encumbrance accounting as a method to record commitments and reserve budget before expenditures are posted. The New York State Office of the State Comptroller Accounting and Reporting Manual describes encumbrance entries and their reversal upon expenditure recognition, supporting compliance and budget discipline [4]. The Philippine DBM Budget Operations Manual (2016 edition) emphasizes transparent, accountable budgeting processes and supports the general principle of aligning commitments and disbursements with approved budget authority [9].</w:t>
      </w:r>
    </w:p>
    <w:p w14:paraId="368975CA" w14:textId="415FA6A7" w:rsidR="001F7FE2" w:rsidRDefault="00000000">
      <w:pPr>
        <w:pStyle w:val="Heading1"/>
      </w:pPr>
      <w:r>
        <w:lastRenderedPageBreak/>
        <w:t>OCR and Evidence Capture</w:t>
      </w:r>
    </w:p>
    <w:p w14:paraId="527885B2" w14:textId="77777777" w:rsidR="001F7FE2" w:rsidRDefault="00000000">
      <w:pPr>
        <w:pStyle w:val="BodyText"/>
      </w:pPr>
      <w:r>
        <w:t>Receipt capture supports auditability by linking transactions to documentary evidence. Smith provides an engineering overview of the Tesseract OCR engine and core recognition pipeline, informing design choices for extracting key receipt fields (date/vendor/amount) with confidence scoring and human review [5].</w:t>
      </w:r>
    </w:p>
    <w:p w14:paraId="74ADEA28" w14:textId="1CC2B40C" w:rsidR="001F7FE2" w:rsidRDefault="00000000" w:rsidP="0047533F">
      <w:pPr>
        <w:pStyle w:val="Heading1"/>
      </w:pPr>
      <w:r>
        <w:t>Nonprofit Financial Health and Vulnerability</w:t>
      </w:r>
    </w:p>
    <w:p w14:paraId="4EFD0155" w14:textId="77777777" w:rsidR="001F7FE2" w:rsidRDefault="00000000">
      <w:pPr>
        <w:pStyle w:val="BodyText"/>
      </w:pPr>
      <w:r>
        <w:t>Tuckman and Chang define nonprofit financial vulnerability as the likelihood of cutting services following a financial shock and propose ratio-based measures for vulnerability screening [6]. Keating et al. analyze nonprofit financial vulnerability and compare nonprofit-specific measures with corporate distress models, motivating early-warning health indicators derived from income and expense ratios [7].</w:t>
      </w:r>
    </w:p>
    <w:p w14:paraId="5B28FD02" w14:textId="6C60B9E1" w:rsidR="001F7FE2" w:rsidRDefault="00000000">
      <w:pPr>
        <w:pStyle w:val="Heading2"/>
      </w:pPr>
      <w:r>
        <w:t>Optimization for Resource Allocation</w:t>
      </w:r>
    </w:p>
    <w:p w14:paraId="4E7F1B7B" w14:textId="77777777" w:rsidR="001F7FE2" w:rsidRDefault="00000000">
      <w:pPr>
        <w:pStyle w:val="BodyText"/>
      </w:pPr>
      <w:r>
        <w:t>Resource allocation under a fixed budget with lower and upper bounds is a well-studied allocation problem. Prior work analyzes bounded allocation formulations and algorithms that enforce feasibility under such constraints, which aligns with the system’s use of minimum requirements and caps during budget distribution [8].</w:t>
      </w:r>
    </w:p>
    <w:p w14:paraId="7D4E0AC8" w14:textId="21936A03" w:rsidR="001F7FE2" w:rsidRDefault="00000000" w:rsidP="0047533F">
      <w:pPr>
        <w:pStyle w:val="Heading1"/>
      </w:pPr>
      <w:r>
        <w:t>SYSTEM OVERVIEW AND REQUIREMENTS</w:t>
      </w:r>
    </w:p>
    <w:p w14:paraId="36009756" w14:textId="77777777" w:rsidR="001F7FE2" w:rsidRDefault="00000000">
      <w:pPr>
        <w:pStyle w:val="BodyText"/>
      </w:pPr>
      <w:r>
        <w:t>AICFMS integrates budgeting, transaction recording, approvals, bank-side tracking, and analytics in a single platform. The target use-case is a church with multiple ministries and designated decision-makers (Pastor, Treasurer, Ministry Heads). The system supports both ministry-scoped requests and general expenses, enforcing policy-driven workflow and budgetary controls.</w:t>
      </w:r>
    </w:p>
    <w:p w14:paraId="4FBAA1AC" w14:textId="77777777" w:rsidR="001F7FE2" w:rsidRDefault="00000000">
      <w:pPr>
        <w:pStyle w:val="Heading2"/>
      </w:pPr>
      <w:r>
        <w:t>A. Functional Requirements</w:t>
      </w:r>
    </w:p>
    <w:p w14:paraId="45D91EBF" w14:textId="77777777" w:rsidR="001F7FE2" w:rsidRDefault="00000000">
      <w:pPr>
        <w:pStyle w:val="BodyText"/>
      </w:pPr>
      <w:r>
        <w:t>FR1) RBAC with roles: Admin, Pastor, Treasurer, Ministry Head, Member. FR2) Receipt OCR integration for expense evidence. FR3) Income tracking for tithes, offerings, donations, and other income with donor tags. FR4) Budgeting with real-time allocated/encumbered/spent/available. FR5) Branched approval workflow with statuses, timestamps, and notifications. FR6) Unified ledger for income and expenses with reconciliation views. FR7) Graphs and charts for financial dashboards. FR8) Optional multi-church/denomination reporting with per-church isolation and read-only aggregation. FR9) Bank-side encoding for deposits/withdrawals, cash↔bank transfers, snapshots, and audit-ready ledgers.</w:t>
      </w:r>
    </w:p>
    <w:p w14:paraId="357D685E" w14:textId="1DAB4620" w:rsidR="001F7FE2" w:rsidRDefault="00000000">
      <w:pPr>
        <w:pStyle w:val="Heading2"/>
      </w:pPr>
      <w:r>
        <w:t>Non-Functional Requirements</w:t>
      </w:r>
    </w:p>
    <w:p w14:paraId="2719B5F7" w14:textId="77777777" w:rsidR="001F7FE2" w:rsidRDefault="00000000">
      <w:pPr>
        <w:pStyle w:val="BodyText"/>
      </w:pPr>
      <w:r>
        <w:t>NFR1) Auditability and traceability from approval to posting. NFR2) Least privilege and separation-of-duties support. NFR3) Explainability for analytics and optimization outputs. NFR4) Transactional consistency for balances, encumbrances, and transfers. NFR5) Scalability across ministries and optional multi-church tenants.</w:t>
      </w:r>
    </w:p>
    <w:p w14:paraId="20669A13" w14:textId="7DB15B5B" w:rsidR="001F7FE2" w:rsidRDefault="00000000">
      <w:pPr>
        <w:pStyle w:val="Heading1"/>
      </w:pPr>
      <w:r>
        <w:t>ARCHITECTURE AND DATA DESIGN</w:t>
      </w:r>
    </w:p>
    <w:p w14:paraId="1B31A079" w14:textId="10DB3ABA" w:rsidR="001F7FE2" w:rsidRDefault="00000000">
      <w:pPr>
        <w:pStyle w:val="Heading2"/>
      </w:pPr>
      <w:r>
        <w:t xml:space="preserve"> Layered Architecture</w:t>
      </w:r>
    </w:p>
    <w:p w14:paraId="59E60611" w14:textId="77777777" w:rsidR="001F7FE2" w:rsidRDefault="00000000">
      <w:pPr>
        <w:pStyle w:val="BodyText"/>
      </w:pPr>
      <w:r>
        <w:t>The platform is organized into: (1) Presentation layer (dashboards, forms, approval screens); (2) Application layer (workflow engine, budget engine, ledger engine, RBAC middleware, notification service); (3) Data layer (transaction tables, budget tables, encumbrances, receipts, audit logs, bank accounts); and (4) Analytics layer (trend features, health scoring, optimization solver interface).</w:t>
      </w:r>
    </w:p>
    <w:p w14:paraId="68839849" w14:textId="5617C3D7" w:rsidR="001F7FE2" w:rsidRDefault="00000000">
      <w:pPr>
        <w:pStyle w:val="Heading2"/>
      </w:pPr>
      <w:r>
        <w:t>Key Entities and Integrity Constraints</w:t>
      </w:r>
    </w:p>
    <w:p w14:paraId="1B7607C2" w14:textId="5C9BA62C" w:rsidR="001F7FE2" w:rsidRDefault="00000000">
      <w:pPr>
        <w:pStyle w:val="BodyText"/>
      </w:pPr>
      <w:r>
        <w:t>Key entities include User/Role/Permission, Budget/Budget</w:t>
      </w:r>
      <w:r w:rsidR="00F83A38">
        <w:t xml:space="preserve"> </w:t>
      </w:r>
      <w:r>
        <w:t>Category, Fund</w:t>
      </w:r>
      <w:r w:rsidR="00F83A38">
        <w:t xml:space="preserve"> </w:t>
      </w:r>
      <w:r>
        <w:t>Request</w:t>
      </w:r>
      <w:r w:rsidR="00F83A38">
        <w:t xml:space="preserve"> </w:t>
      </w:r>
      <w:r>
        <w:t>/</w:t>
      </w:r>
      <w:r w:rsidR="00F83A38">
        <w:t xml:space="preserve"> </w:t>
      </w:r>
      <w:r>
        <w:t>Approval</w:t>
      </w:r>
      <w:r w:rsidR="00F83A38">
        <w:t xml:space="preserve"> </w:t>
      </w:r>
      <w:r>
        <w:t>/</w:t>
      </w:r>
      <w:r w:rsidR="00F83A38">
        <w:t xml:space="preserve"> </w:t>
      </w:r>
      <w:r>
        <w:t>Release</w:t>
      </w:r>
      <w:r w:rsidR="00F83A38">
        <w:t xml:space="preserve"> </w:t>
      </w:r>
      <w:r>
        <w:t>/</w:t>
      </w:r>
      <w:r w:rsidR="00F83A38">
        <w:t xml:space="preserve"> </w:t>
      </w:r>
      <w:r>
        <w:t>Status</w:t>
      </w:r>
      <w:r w:rsidR="00F83A38">
        <w:t xml:space="preserve"> </w:t>
      </w:r>
      <w:r>
        <w:t>History, Encumbrance, Transaction</w:t>
      </w:r>
      <w:r w:rsidR="00F83A38">
        <w:t xml:space="preserve"> </w:t>
      </w:r>
      <w:r>
        <w:t>/</w:t>
      </w:r>
      <w:r w:rsidR="00F83A38">
        <w:t xml:space="preserve"> </w:t>
      </w:r>
      <w:r>
        <w:t>Ledger</w:t>
      </w:r>
      <w:r w:rsidR="00F83A38">
        <w:t xml:space="preserve"> </w:t>
      </w:r>
      <w:r>
        <w:t>Entry, Receipt, Bank</w:t>
      </w:r>
      <w:r w:rsidR="00F83A38">
        <w:t xml:space="preserve"> </w:t>
      </w:r>
      <w:r>
        <w:t>Account</w:t>
      </w:r>
      <w:r w:rsidR="00F83A38">
        <w:t xml:space="preserve"> </w:t>
      </w:r>
      <w:r>
        <w:t>/</w:t>
      </w:r>
      <w:r w:rsidR="00F83A38">
        <w:t xml:space="preserve"> </w:t>
      </w:r>
      <w:r>
        <w:t>Bank</w:t>
      </w:r>
      <w:r w:rsidR="00F83A38">
        <w:t xml:space="preserve"> </w:t>
      </w:r>
      <w:r>
        <w:t>Transaction</w:t>
      </w:r>
      <w:r w:rsidR="00F83A38">
        <w:t xml:space="preserve"> </w:t>
      </w:r>
      <w:r>
        <w:t>/</w:t>
      </w:r>
      <w:r w:rsidR="00F83A38">
        <w:t xml:space="preserve"> </w:t>
      </w:r>
      <w:r>
        <w:t>Transfer, and Audit</w:t>
      </w:r>
      <w:r w:rsidR="00F83A38">
        <w:t xml:space="preserve"> </w:t>
      </w:r>
      <w:r>
        <w:t>Log. Integrity constraints enforce that: (i) Posted transactions must reference a valid approval path and budget category; (ii) Encumbrance totals cannot exceed allocated budget; (iii) Transfers always create paired cash and bank ledger entries; and (iv) All updates to approval states append an audit event.</w:t>
      </w:r>
    </w:p>
    <w:p w14:paraId="1A144BC9" w14:textId="7FA02677" w:rsidR="001F7FE2" w:rsidRDefault="00000000">
      <w:pPr>
        <w:pStyle w:val="Heading1"/>
      </w:pPr>
      <w:r>
        <w:t>Workflow State Machine</w:t>
      </w:r>
    </w:p>
    <w:p w14:paraId="17AC1B3D" w14:textId="77777777" w:rsidR="001F7FE2" w:rsidRDefault="00000000">
      <w:pPr>
        <w:pStyle w:val="BodyText"/>
      </w:pPr>
      <w:r>
        <w:t>Ministry scope: Draft → Submitted → Pastor-Approved/Pending-Treasurer → Released → Posted. General scope: Draft → Submitted → Released → Posted. Each transition is permission-gated by RBAC.</w:t>
      </w:r>
    </w:p>
    <w:tbl>
      <w:tblPr>
        <w:tblStyle w:val="TableGrid"/>
        <w:tblW w:w="100.0%" w:type="pct"/>
        <w:tblLayout w:type="fixed"/>
        <w:tblLook w:firstRow="1" w:lastRow="0" w:firstColumn="1" w:lastColumn="0" w:noHBand="0" w:noVBand="1"/>
      </w:tblPr>
      <w:tblGrid>
        <w:gridCol w:w="1619"/>
        <w:gridCol w:w="1619"/>
        <w:gridCol w:w="1619"/>
      </w:tblGrid>
      <w:tr w:rsidR="001F7FE2" w14:paraId="63E60E80" w14:textId="77777777">
        <w:tc>
          <w:tcPr>
            <w:tcW w:w="174.25pt" w:type="dxa"/>
          </w:tcPr>
          <w:p w14:paraId="409DB5FF" w14:textId="77777777" w:rsidR="001F7FE2" w:rsidRDefault="00000000">
            <w:r>
              <w:t>State</w:t>
            </w:r>
          </w:p>
        </w:tc>
        <w:tc>
          <w:tcPr>
            <w:tcW w:w="174.25pt" w:type="dxa"/>
          </w:tcPr>
          <w:p w14:paraId="7D5BD25F" w14:textId="77777777" w:rsidR="001F7FE2" w:rsidRDefault="00000000">
            <w:r>
              <w:t>Description</w:t>
            </w:r>
          </w:p>
        </w:tc>
        <w:tc>
          <w:tcPr>
            <w:tcW w:w="174.25pt" w:type="dxa"/>
          </w:tcPr>
          <w:p w14:paraId="46A28571" w14:textId="77777777" w:rsidR="001F7FE2" w:rsidRDefault="00000000">
            <w:r>
              <w:t>Key Actor/Control</w:t>
            </w:r>
          </w:p>
        </w:tc>
      </w:tr>
      <w:tr w:rsidR="001F7FE2" w14:paraId="629A4DC0" w14:textId="77777777">
        <w:tc>
          <w:tcPr>
            <w:tcW w:w="174.25pt" w:type="dxa"/>
          </w:tcPr>
          <w:p w14:paraId="0BC72529" w14:textId="77777777" w:rsidR="001F7FE2" w:rsidRDefault="00000000">
            <w:r>
              <w:t>Draft</w:t>
            </w:r>
          </w:p>
        </w:tc>
        <w:tc>
          <w:tcPr>
            <w:tcW w:w="174.25pt" w:type="dxa"/>
          </w:tcPr>
          <w:p w14:paraId="71E95582" w14:textId="77777777" w:rsidR="001F7FE2" w:rsidRDefault="00000000">
            <w:r>
              <w:t>Prepared but not submitted.</w:t>
            </w:r>
          </w:p>
        </w:tc>
        <w:tc>
          <w:tcPr>
            <w:tcW w:w="174.25pt" w:type="dxa"/>
          </w:tcPr>
          <w:p w14:paraId="1F823E3C" w14:textId="77777777" w:rsidR="001F7FE2" w:rsidRDefault="00000000">
            <w:r>
              <w:t>Creator; editable</w:t>
            </w:r>
          </w:p>
        </w:tc>
      </w:tr>
      <w:tr w:rsidR="001F7FE2" w14:paraId="0CB4FB8C" w14:textId="77777777">
        <w:tc>
          <w:tcPr>
            <w:tcW w:w="174.25pt" w:type="dxa"/>
          </w:tcPr>
          <w:p w14:paraId="54A5A34E" w14:textId="77777777" w:rsidR="001F7FE2" w:rsidRDefault="00000000">
            <w:r>
              <w:t>Submitted</w:t>
            </w:r>
          </w:p>
        </w:tc>
        <w:tc>
          <w:tcPr>
            <w:tcW w:w="174.25pt" w:type="dxa"/>
          </w:tcPr>
          <w:p w14:paraId="7176B808" w14:textId="77777777" w:rsidR="001F7FE2" w:rsidRDefault="00000000">
            <w:r>
              <w:t>Submitted for approval.</w:t>
            </w:r>
          </w:p>
        </w:tc>
        <w:tc>
          <w:tcPr>
            <w:tcW w:w="174.25pt" w:type="dxa"/>
          </w:tcPr>
          <w:p w14:paraId="727EFCCB" w14:textId="77777777" w:rsidR="001F7FE2" w:rsidRDefault="00000000">
            <w:r>
              <w:t>Locks key fields</w:t>
            </w:r>
          </w:p>
        </w:tc>
      </w:tr>
      <w:tr w:rsidR="001F7FE2" w14:paraId="512A3300" w14:textId="77777777">
        <w:tc>
          <w:tcPr>
            <w:tcW w:w="174.25pt" w:type="dxa"/>
          </w:tcPr>
          <w:p w14:paraId="1622F0D2" w14:textId="77777777" w:rsidR="001F7FE2" w:rsidRDefault="00000000">
            <w:r>
              <w:t>Pastor-Approved / Pending-Treasurer</w:t>
            </w:r>
          </w:p>
        </w:tc>
        <w:tc>
          <w:tcPr>
            <w:tcW w:w="174.25pt" w:type="dxa"/>
          </w:tcPr>
          <w:p w14:paraId="557D5C4A" w14:textId="77777777" w:rsidR="001F7FE2" w:rsidRDefault="00000000">
            <w:r>
              <w:t>Approval recorded; encumbered.</w:t>
            </w:r>
          </w:p>
        </w:tc>
        <w:tc>
          <w:tcPr>
            <w:tcW w:w="174.25pt" w:type="dxa"/>
          </w:tcPr>
          <w:p w14:paraId="454A5EF8" w14:textId="77777777" w:rsidR="001F7FE2" w:rsidRDefault="00000000">
            <w:r>
              <w:t>Pastor; auto-encumber</w:t>
            </w:r>
          </w:p>
        </w:tc>
      </w:tr>
      <w:tr w:rsidR="001F7FE2" w14:paraId="1A057F78" w14:textId="77777777">
        <w:tc>
          <w:tcPr>
            <w:tcW w:w="174.25pt" w:type="dxa"/>
          </w:tcPr>
          <w:p w14:paraId="5AF357D9" w14:textId="77777777" w:rsidR="001F7FE2" w:rsidRDefault="00000000">
            <w:r>
              <w:t>Released</w:t>
            </w:r>
          </w:p>
        </w:tc>
        <w:tc>
          <w:tcPr>
            <w:tcW w:w="174.25pt" w:type="dxa"/>
          </w:tcPr>
          <w:p w14:paraId="447DF94C" w14:textId="77777777" w:rsidR="001F7FE2" w:rsidRDefault="00000000">
            <w:r>
              <w:t>Funds released (partial/full).</w:t>
            </w:r>
          </w:p>
        </w:tc>
        <w:tc>
          <w:tcPr>
            <w:tcW w:w="174.25pt" w:type="dxa"/>
          </w:tcPr>
          <w:p w14:paraId="2FD1ADCE" w14:textId="77777777" w:rsidR="001F7FE2" w:rsidRDefault="00000000">
            <w:r>
              <w:t>Treasurer; limit checks</w:t>
            </w:r>
          </w:p>
        </w:tc>
      </w:tr>
      <w:tr w:rsidR="001F7FE2" w14:paraId="15F06946" w14:textId="77777777">
        <w:tc>
          <w:tcPr>
            <w:tcW w:w="174.25pt" w:type="dxa"/>
          </w:tcPr>
          <w:p w14:paraId="5FF7EAF2" w14:textId="77777777" w:rsidR="001F7FE2" w:rsidRDefault="00000000">
            <w:r>
              <w:t>Posted</w:t>
            </w:r>
          </w:p>
        </w:tc>
        <w:tc>
          <w:tcPr>
            <w:tcW w:w="174.25pt" w:type="dxa"/>
          </w:tcPr>
          <w:p w14:paraId="44FD2346" w14:textId="77777777" w:rsidR="001F7FE2" w:rsidRDefault="00000000">
            <w:r>
              <w:t>Recorded in ledger with receipt.</w:t>
            </w:r>
          </w:p>
        </w:tc>
        <w:tc>
          <w:tcPr>
            <w:tcW w:w="174.25pt" w:type="dxa"/>
          </w:tcPr>
          <w:p w14:paraId="3E3F1AB5" w14:textId="77777777" w:rsidR="001F7FE2" w:rsidRDefault="00000000">
            <w:r>
              <w:t>Treasurer; audit log</w:t>
            </w:r>
          </w:p>
        </w:tc>
      </w:tr>
    </w:tbl>
    <w:p w14:paraId="43035BE6" w14:textId="62328EBD" w:rsidR="001F7FE2" w:rsidRDefault="00000000">
      <w:pPr>
        <w:pStyle w:val="Heading1"/>
      </w:pPr>
      <w:r>
        <w:t>IMPLEMENTATION CONSIDERATIONS</w:t>
      </w:r>
    </w:p>
    <w:p w14:paraId="72E96C9B" w14:textId="0F2B270D" w:rsidR="001F7FE2" w:rsidRDefault="00000000">
      <w:pPr>
        <w:pStyle w:val="Heading2"/>
      </w:pPr>
      <w:r>
        <w:t>Workflow Engine and Notifications</w:t>
      </w:r>
    </w:p>
    <w:p w14:paraId="7FF85F48" w14:textId="77777777" w:rsidR="001F7FE2" w:rsidRDefault="00000000">
      <w:pPr>
        <w:pStyle w:val="BodyText"/>
      </w:pPr>
      <w:r>
        <w:t>The workflow engine implements state transitions as atomic operations that validate permissions, enforce prerequisite states, and write status history records. Notifications are emitted on state changes (e.g., Submitted, Approved, Released) to reduce processing delay. To preserve auditability, each transition writes an audit event containing actor identity, timestamps, and structured metadata (approval notes, release amounts).</w:t>
      </w:r>
    </w:p>
    <w:p w14:paraId="766C396D" w14:textId="67F248B2" w:rsidR="001F7FE2" w:rsidRDefault="00000000">
      <w:pPr>
        <w:pStyle w:val="Heading2"/>
      </w:pPr>
      <w:r>
        <w:t>Ledger Posting Rules</w:t>
      </w:r>
    </w:p>
    <w:p w14:paraId="30E3F692" w14:textId="77777777" w:rsidR="001F7FE2" w:rsidRDefault="00000000">
      <w:pPr>
        <w:pStyle w:val="BodyText"/>
      </w:pPr>
      <w:r>
        <w:t xml:space="preserve">The ledger engine records both income and expense transactions under a unified chart of accounts, enabling consolidated reporting. Income posting records source type </w:t>
      </w:r>
      <w:r>
        <w:lastRenderedPageBreak/>
        <w:t>(tithe/offering/donation/other income) and optional donor tags. Expense posting is tied to a budget category and request reference. Bank deposits/withdrawals are posted as bank transactions with linked receipt evidence. Cash↔bank transfers are posted as paired entries to preserve conservation of funds and to avoid double counting.</w:t>
      </w:r>
    </w:p>
    <w:p w14:paraId="34770F23" w14:textId="629D04EC" w:rsidR="001F7FE2" w:rsidRDefault="00000000">
      <w:pPr>
        <w:pStyle w:val="Heading1"/>
      </w:pPr>
      <w:r>
        <w:t>Data Consistency for Balances</w:t>
      </w:r>
    </w:p>
    <w:p w14:paraId="568C9239" w14:textId="77777777" w:rsidR="001F7FE2" w:rsidRDefault="00000000">
      <w:pPr>
        <w:pStyle w:val="BodyText"/>
      </w:pPr>
      <w:r>
        <w:t>To avoid inconsistent balances, the system recomputes budget aggregates using authoritative transaction and encumbrance records. In addition, release and posting operations use transactional semantics: (i) validate available balance; (ii) apply encumbrance changes; (iii) create ledger entries; and (iv) write audit events. This ordering ensures that partial failures do not leave budgets in a mismatched state.</w:t>
      </w:r>
    </w:p>
    <w:p w14:paraId="69D26CBF" w14:textId="55E91BD5" w:rsidR="001F7FE2" w:rsidRDefault="00000000" w:rsidP="00F83A38">
      <w:pPr>
        <w:pStyle w:val="Heading1"/>
      </w:pPr>
      <w:r>
        <w:t>BUDGETING WITH AUTO-ENCUMBRANCE</w:t>
      </w:r>
    </w:p>
    <w:p w14:paraId="48A2C5A3" w14:textId="77777777" w:rsidR="001F7FE2" w:rsidRDefault="00000000">
      <w:pPr>
        <w:pStyle w:val="BodyText"/>
      </w:pPr>
      <w:r>
        <w:t>The budgeting module implements encumbrance-style reservation to prevent overspending by recognizing commitments at approval time rather than only at posting time. This approach reflects public-sector encumbrance entries where obligations reserve budget authority [4].</w:t>
      </w:r>
    </w:p>
    <w:p w14:paraId="2784C76C" w14:textId="38D8B119" w:rsidR="001F7FE2" w:rsidRDefault="00000000">
      <w:pPr>
        <w:pStyle w:val="Heading2"/>
      </w:pPr>
      <w:r>
        <w:t>Balance Computation</w:t>
      </w:r>
    </w:p>
    <w:p w14:paraId="2BE33F78" w14:textId="77777777" w:rsidR="001F7FE2" w:rsidRDefault="00000000">
      <w:pPr>
        <w:pStyle w:val="BodyText"/>
      </w:pPr>
      <w:r>
        <w:t>For each category i, define: Allocated budget A_i, Released R_i, Returned/Unspent U_i, Spent/Posted S_i, and Available for release V_i. Under the release-driven policy, availability is computed as V_i = A_i - R_i + U_i, with the constraint S_i &lt;= R_i.</w:t>
      </w:r>
    </w:p>
    <w:p w14:paraId="4806B223" w14:textId="17D036E1" w:rsidR="001F7FE2" w:rsidRDefault="00000000">
      <w:pPr>
        <w:pStyle w:val="Heading2"/>
      </w:pPr>
      <w:r>
        <w:t>Auto-Encumber and Release</w:t>
      </w:r>
    </w:p>
    <w:p w14:paraId="43ECD6DC" w14:textId="77777777" w:rsidR="001F7FE2" w:rsidRDefault="00000000">
      <w:pPr>
        <w:pStyle w:val="BodyText"/>
      </w:pPr>
      <w:r>
        <w:t>On approval, the system validates that the request is eligible for fund release (e.g., required approvers completed and the request is in an allowable workflow state). No budget deduction occurs at approval.</w:t>
      </w:r>
    </w:p>
    <w:p w14:paraId="6FFB9035" w14:textId="77777777" w:rsidR="001F7FE2" w:rsidRDefault="00000000">
      <w:pPr>
        <w:pStyle w:val="BodyText"/>
      </w:pPr>
      <w:r>
        <w:t>On release of an amount x for category i, the system enforces V_i &gt;= x, then updates R_i := R_i + x and V_i := V_i - x (equivalently, V_i = A_i - R_i + U_i).</w:t>
      </w:r>
    </w:p>
    <w:p w14:paraId="229EDF53" w14:textId="08A054CA" w:rsidR="001F7FE2" w:rsidRDefault="001E1C43" w:rsidP="001E1C43">
      <w:pPr>
        <w:pStyle w:val="BodyText"/>
        <w:ind w:firstLine="0pt"/>
      </w:pPr>
      <w:r>
        <w:tab/>
      </w:r>
      <w:r w:rsidR="00000000">
        <w:t>On posting an expense of amount y against a previously released budget, the system updates S_i := S_i + y and stores the receipt and OCR metadata. Posting supports reconciliation while respecting S_i &lt;= R_i.</w:t>
      </w:r>
    </w:p>
    <w:p w14:paraId="43EA43A0" w14:textId="77777777" w:rsidR="001F7FE2" w:rsidRDefault="00000000">
      <w:pPr>
        <w:pStyle w:val="BodyText"/>
      </w:pPr>
      <w:r>
        <w:t>On return of unspent funds of amount z, the system updates U_i := U_i + z, which increases availability by the same amount: V_i := V_i + z.</w:t>
      </w:r>
    </w:p>
    <w:p w14:paraId="0D312E1D" w14:textId="135CA9CE" w:rsidR="001F7FE2" w:rsidRDefault="00000000">
      <w:pPr>
        <w:pStyle w:val="Heading1"/>
      </w:pPr>
      <w:r>
        <w:t xml:space="preserve"> RECEIPT OCR INTEGRATION AND AUDIT TRAILS</w:t>
      </w:r>
    </w:p>
    <w:p w14:paraId="32C2D1F9" w14:textId="7D6EF0FE" w:rsidR="001F7FE2" w:rsidRDefault="00000000">
      <w:pPr>
        <w:pStyle w:val="Heading2"/>
      </w:pPr>
      <w:r>
        <w:t>OCR Pipeline with Human Review</w:t>
      </w:r>
    </w:p>
    <w:p w14:paraId="76FE0336" w14:textId="77777777" w:rsidR="001F7FE2" w:rsidRDefault="00000000">
      <w:pPr>
        <w:pStyle w:val="BodyText"/>
      </w:pPr>
      <w:r>
        <w:t>Receipts are uploaded and processed via OCR. Extracted fields are accompanied by confidence scores; values below a threshold require user confirmation to mitigate OCR errors due to lighting, skew, or poor print. This human-in-the-loop design balances efficiency with correctness, consistent with OCR engineering considerations [5].</w:t>
      </w:r>
    </w:p>
    <w:p w14:paraId="09CE32F2" w14:textId="69E568F9" w:rsidR="001F7FE2" w:rsidRDefault="00000000">
      <w:pPr>
        <w:pStyle w:val="Heading2"/>
      </w:pPr>
      <w:r>
        <w:t>Audit Trail Completeness</w:t>
      </w:r>
    </w:p>
    <w:p w14:paraId="468518FF" w14:textId="77777777" w:rsidR="001F7FE2" w:rsidRDefault="00000000">
      <w:pPr>
        <w:pStyle w:val="BodyText"/>
      </w:pPr>
      <w:r>
        <w:t xml:space="preserve">An audit record is created for submission, approval, release, posting, and receipt attachment. For audit review, the </w:t>
      </w:r>
      <w:r>
        <w:t>system can reconstruct a transaction’s chain-of-custody: request → approvals → release amounts → receipt evidence → posted ledger entry.</w:t>
      </w:r>
    </w:p>
    <w:p w14:paraId="7B1CD97B" w14:textId="6637C2DF" w:rsidR="001F7FE2" w:rsidRDefault="00000000">
      <w:pPr>
        <w:pStyle w:val="Heading1"/>
      </w:pPr>
      <w:r>
        <w:t>ANALYTICS AND PRESCRIPTIVE OPTIMIZATION</w:t>
      </w:r>
    </w:p>
    <w:p w14:paraId="1CD044A3" w14:textId="035D5FA3" w:rsidR="001F7FE2" w:rsidRDefault="00000000">
      <w:pPr>
        <w:pStyle w:val="Heading2"/>
      </w:pPr>
      <w:r>
        <w:t xml:space="preserve"> Descriptive Analytics Features</w:t>
      </w:r>
    </w:p>
    <w:p w14:paraId="7CE5EBEA" w14:textId="77777777" w:rsidR="001F7FE2" w:rsidRDefault="00000000">
      <w:pPr>
        <w:pStyle w:val="BodyText"/>
      </w:pPr>
      <w:r>
        <w:t>Monthly-to-yearly analytics compute burn-rate, seasonality, and category mix. Burn-rate indicates whether a budget is being consumed faster than the remaining period; seasonality identifies recurring low-income months that may require conservative allocations; and category mix supports transparency by showing where funds are concentrated.</w:t>
      </w:r>
    </w:p>
    <w:p w14:paraId="1B9873E2" w14:textId="516208C6" w:rsidR="001F7FE2" w:rsidRDefault="00000000">
      <w:pPr>
        <w:pStyle w:val="Heading2"/>
      </w:pPr>
      <w:r>
        <w:t>Financial Health Classification</w:t>
      </w:r>
    </w:p>
    <w:p w14:paraId="42A272F4" w14:textId="77777777" w:rsidR="001F7FE2" w:rsidRDefault="00000000">
      <w:pPr>
        <w:pStyle w:val="BodyText"/>
      </w:pPr>
      <w:r>
        <w:t>The system classifies health into Healthy/Caution/Deficit Risk using interpretable indicators derived from internal records. For example, a liquidity proxy can be computed as (cash + bank) / average monthly expenses, and an operating margin proxy as (income − expense) / income. The vulnerability framing is motivated by nonprofit vulnerability research that links shocks to service cutbacks [6], [7].</w:t>
      </w:r>
    </w:p>
    <w:p w14:paraId="6D20C9EA" w14:textId="6EEA7022" w:rsidR="001F7FE2" w:rsidRDefault="00F83A38">
      <w:pPr>
        <w:pStyle w:val="Heading1"/>
      </w:pPr>
      <w:r>
        <w:t xml:space="preserve"> </w:t>
      </w:r>
      <w:r w:rsidR="00000000">
        <w:t>Optimization Model (Implemented Model)</w:t>
      </w:r>
    </w:p>
    <w:p w14:paraId="1DEEF698" w14:textId="77777777" w:rsidR="001F7FE2" w:rsidRDefault="00000000">
      <w:pPr>
        <w:pStyle w:val="BodyText"/>
      </w:pPr>
      <w:r>
        <w:t>The prescriptive optimizer recommends allocations across categories given total available funds F. For each category i, the model uses a priority score w_i (e.g., 1-10), a minimum requirement m_i, and an optional cap c_i where c_i = +infinity denotes no cap. Categories with w_i &gt; 0 are eligible for allocation.</w:t>
      </w:r>
    </w:p>
    <w:p w14:paraId="7376DDF0" w14:textId="77777777" w:rsidR="001F7FE2" w:rsidRDefault="00000000">
      <w:pPr>
        <w:pStyle w:val="BodyText"/>
      </w:pPr>
      <w:r>
        <w:t>Minimum-first allocation: Let M = sum_i m_i. If F &lt; M, minimums are prorated: a_i = F * (m_i / M).</w:t>
      </w:r>
    </w:p>
    <w:p w14:paraId="0A2F0EFB" w14:textId="4BA80A4F" w:rsidR="001F7FE2" w:rsidRDefault="001E1C43" w:rsidP="001E1C43">
      <w:pPr>
        <w:pStyle w:val="BodyText"/>
        <w:ind w:firstLine="0pt"/>
      </w:pPr>
      <w:r>
        <w:tab/>
      </w:r>
      <w:r w:rsidR="00000000">
        <w:t>Otherwise, allocate minimums first (a_i = m_i) and define remaining funds R = F - M.</w:t>
      </w:r>
    </w:p>
    <w:p w14:paraId="4A5E7545" w14:textId="77777777" w:rsidR="001F7FE2" w:rsidRDefault="00000000">
      <w:pPr>
        <w:pStyle w:val="BodyText"/>
      </w:pPr>
      <w:r>
        <w:t>Priority-weighted surplus distribution with caps: while R &gt; 0, distribute proportionally to priority among eligible categories E (those not yet capped): delta_i = R * (w_i / sum_{j in E} w_j). Set a_i := min(a_i + delta_i, c_i). Any overflow from capped categories is recycled back into R and redistributed until all categories are capped or R becomes negligible.</w:t>
      </w:r>
    </w:p>
    <w:p w14:paraId="5077953E" w14:textId="09E185EE" w:rsidR="001F7FE2" w:rsidRDefault="001E1C43" w:rsidP="001E1C43">
      <w:pPr>
        <w:pStyle w:val="BodyText"/>
        <w:ind w:firstLine="0pt"/>
      </w:pPr>
      <w:r>
        <w:tab/>
      </w:r>
      <w:r w:rsidR="00000000">
        <w:t>subject to cap enforcement when . Any capped overflow is recycled and redistributed iteratively until no eligible category remains or the residual becomes negligible. Allocations are output with two-decimal rounding [8].</w:t>
      </w:r>
    </w:p>
    <w:p w14:paraId="16A55C71" w14:textId="77777777" w:rsidR="001F7FE2" w:rsidRDefault="00000000">
      <w:pPr>
        <w:pStyle w:val="BodyText"/>
      </w:pPr>
      <w:r>
        <w:t>Scenario sandboxing. For prescriptive “what-if” planning, leaders may adjust (priority sliders) and re-run the allocator to compare feasible allocation scenarios under the same minimum and cap rules.</w:t>
      </w:r>
    </w:p>
    <w:p w14:paraId="60D82A9F" w14:textId="27A61B80" w:rsidR="001F7FE2" w:rsidRDefault="00000000">
      <w:pPr>
        <w:pStyle w:val="Heading1"/>
      </w:pPr>
      <w:r>
        <w:t>SECURITY AND MULTI-CHURCH SUPPORT</w:t>
      </w:r>
    </w:p>
    <w:p w14:paraId="5FE81237" w14:textId="77777777" w:rsidR="001F7FE2" w:rsidRDefault="00000000">
      <w:pPr>
        <w:pStyle w:val="Heading2"/>
      </w:pPr>
      <w:r>
        <w:t>A. RBAC Permission Matrix</w:t>
      </w:r>
    </w:p>
    <w:tbl>
      <w:tblPr>
        <w:tblStyle w:val="TableGrid"/>
        <w:tblW w:w="100.0%" w:type="pct"/>
        <w:tblLayout w:type="fixed"/>
        <w:tblLook w:firstRow="1" w:lastRow="0" w:firstColumn="1" w:lastColumn="0" w:noHBand="0" w:noVBand="1"/>
      </w:tblPr>
      <w:tblGrid>
        <w:gridCol w:w="810"/>
        <w:gridCol w:w="810"/>
        <w:gridCol w:w="810"/>
        <w:gridCol w:w="809"/>
        <w:gridCol w:w="809"/>
        <w:gridCol w:w="809"/>
      </w:tblGrid>
      <w:tr w:rsidR="001F7FE2" w14:paraId="38316D83" w14:textId="77777777">
        <w:tc>
          <w:tcPr>
            <w:tcW w:w="87.10pt" w:type="dxa"/>
          </w:tcPr>
          <w:p w14:paraId="650FBCDE" w14:textId="77777777" w:rsidR="001F7FE2" w:rsidRDefault="00000000">
            <w:r>
              <w:t>Action</w:t>
            </w:r>
          </w:p>
        </w:tc>
        <w:tc>
          <w:tcPr>
            <w:tcW w:w="87.10pt" w:type="dxa"/>
          </w:tcPr>
          <w:p w14:paraId="27CD7847" w14:textId="77777777" w:rsidR="001F7FE2" w:rsidRDefault="00000000">
            <w:r>
              <w:t>Admin</w:t>
            </w:r>
          </w:p>
        </w:tc>
        <w:tc>
          <w:tcPr>
            <w:tcW w:w="87.10pt" w:type="dxa"/>
          </w:tcPr>
          <w:p w14:paraId="108BF74A" w14:textId="77777777" w:rsidR="001F7FE2" w:rsidRDefault="00000000">
            <w:r>
              <w:t>Pastor</w:t>
            </w:r>
          </w:p>
        </w:tc>
        <w:tc>
          <w:tcPr>
            <w:tcW w:w="87.10pt" w:type="dxa"/>
          </w:tcPr>
          <w:p w14:paraId="649A8DE6" w14:textId="77777777" w:rsidR="001F7FE2" w:rsidRDefault="00000000">
            <w:r>
              <w:t>Treasurer</w:t>
            </w:r>
          </w:p>
        </w:tc>
        <w:tc>
          <w:tcPr>
            <w:tcW w:w="87.10pt" w:type="dxa"/>
          </w:tcPr>
          <w:p w14:paraId="18429D5A" w14:textId="77777777" w:rsidR="001F7FE2" w:rsidRDefault="00000000">
            <w:r>
              <w:t>Ministry Head</w:t>
            </w:r>
          </w:p>
        </w:tc>
        <w:tc>
          <w:tcPr>
            <w:tcW w:w="87.10pt" w:type="dxa"/>
          </w:tcPr>
          <w:p w14:paraId="4E9B55A5" w14:textId="77777777" w:rsidR="001F7FE2" w:rsidRDefault="00000000">
            <w:r>
              <w:t>Member</w:t>
            </w:r>
          </w:p>
        </w:tc>
      </w:tr>
      <w:tr w:rsidR="001F7FE2" w14:paraId="10A4C835" w14:textId="77777777">
        <w:tc>
          <w:tcPr>
            <w:tcW w:w="87.10pt" w:type="dxa"/>
          </w:tcPr>
          <w:p w14:paraId="5B431ADF" w14:textId="77777777" w:rsidR="001F7FE2" w:rsidRDefault="00000000">
            <w:r>
              <w:t xml:space="preserve">Manage </w:t>
            </w:r>
            <w:r>
              <w:lastRenderedPageBreak/>
              <w:t>users/roles</w:t>
            </w:r>
          </w:p>
        </w:tc>
        <w:tc>
          <w:tcPr>
            <w:tcW w:w="87.10pt" w:type="dxa"/>
          </w:tcPr>
          <w:p w14:paraId="386AC683" w14:textId="77777777" w:rsidR="001F7FE2" w:rsidRDefault="00000000">
            <w:r>
              <w:lastRenderedPageBreak/>
              <w:t>✓</w:t>
            </w:r>
          </w:p>
        </w:tc>
        <w:tc>
          <w:tcPr>
            <w:tcW w:w="87.10pt" w:type="dxa"/>
          </w:tcPr>
          <w:p w14:paraId="734E5FD6" w14:textId="77777777" w:rsidR="001F7FE2" w:rsidRDefault="00000000">
            <w:r>
              <w:t>-</w:t>
            </w:r>
          </w:p>
        </w:tc>
        <w:tc>
          <w:tcPr>
            <w:tcW w:w="87.10pt" w:type="dxa"/>
          </w:tcPr>
          <w:p w14:paraId="20BF8330" w14:textId="77777777" w:rsidR="001F7FE2" w:rsidRDefault="00000000">
            <w:r>
              <w:t>-</w:t>
            </w:r>
          </w:p>
        </w:tc>
        <w:tc>
          <w:tcPr>
            <w:tcW w:w="87.10pt" w:type="dxa"/>
          </w:tcPr>
          <w:p w14:paraId="6E189862" w14:textId="77777777" w:rsidR="001F7FE2" w:rsidRDefault="00000000">
            <w:r>
              <w:t>-</w:t>
            </w:r>
          </w:p>
        </w:tc>
        <w:tc>
          <w:tcPr>
            <w:tcW w:w="87.10pt" w:type="dxa"/>
          </w:tcPr>
          <w:p w14:paraId="409AE089" w14:textId="77777777" w:rsidR="001F7FE2" w:rsidRDefault="00000000">
            <w:r>
              <w:t>-</w:t>
            </w:r>
          </w:p>
        </w:tc>
      </w:tr>
      <w:tr w:rsidR="001F7FE2" w14:paraId="2696A470" w14:textId="77777777">
        <w:tc>
          <w:tcPr>
            <w:tcW w:w="87.10pt" w:type="dxa"/>
          </w:tcPr>
          <w:p w14:paraId="1CA143F7" w14:textId="77777777" w:rsidR="001F7FE2" w:rsidRDefault="00000000">
            <w:r>
              <w:t>Submit ministry request</w:t>
            </w:r>
          </w:p>
        </w:tc>
        <w:tc>
          <w:tcPr>
            <w:tcW w:w="87.10pt" w:type="dxa"/>
          </w:tcPr>
          <w:p w14:paraId="71B922BC" w14:textId="77777777" w:rsidR="001F7FE2" w:rsidRDefault="00000000">
            <w:r>
              <w:t>-</w:t>
            </w:r>
          </w:p>
        </w:tc>
        <w:tc>
          <w:tcPr>
            <w:tcW w:w="87.10pt" w:type="dxa"/>
          </w:tcPr>
          <w:p w14:paraId="6676757D" w14:textId="77777777" w:rsidR="001F7FE2" w:rsidRDefault="00000000">
            <w:r>
              <w:t>-</w:t>
            </w:r>
          </w:p>
        </w:tc>
        <w:tc>
          <w:tcPr>
            <w:tcW w:w="87.10pt" w:type="dxa"/>
          </w:tcPr>
          <w:p w14:paraId="69862B87" w14:textId="77777777" w:rsidR="001F7FE2" w:rsidRDefault="00000000">
            <w:r>
              <w:t>-</w:t>
            </w:r>
          </w:p>
        </w:tc>
        <w:tc>
          <w:tcPr>
            <w:tcW w:w="87.10pt" w:type="dxa"/>
          </w:tcPr>
          <w:p w14:paraId="5B40C231" w14:textId="77777777" w:rsidR="001F7FE2" w:rsidRDefault="00000000">
            <w:r>
              <w:t>✓</w:t>
            </w:r>
          </w:p>
        </w:tc>
        <w:tc>
          <w:tcPr>
            <w:tcW w:w="87.10pt" w:type="dxa"/>
          </w:tcPr>
          <w:p w14:paraId="5E66BE12" w14:textId="77777777" w:rsidR="001F7FE2" w:rsidRDefault="00000000">
            <w:r>
              <w:t>-</w:t>
            </w:r>
          </w:p>
        </w:tc>
      </w:tr>
      <w:tr w:rsidR="001F7FE2" w14:paraId="6BF99791" w14:textId="77777777">
        <w:tc>
          <w:tcPr>
            <w:tcW w:w="87.10pt" w:type="dxa"/>
          </w:tcPr>
          <w:p w14:paraId="7C2F25BD" w14:textId="77777777" w:rsidR="001F7FE2" w:rsidRDefault="00000000">
            <w:r>
              <w:t>Approve ministry request</w:t>
            </w:r>
          </w:p>
        </w:tc>
        <w:tc>
          <w:tcPr>
            <w:tcW w:w="87.10pt" w:type="dxa"/>
          </w:tcPr>
          <w:p w14:paraId="37C7C7AF" w14:textId="77777777" w:rsidR="001F7FE2" w:rsidRDefault="00000000">
            <w:r>
              <w:t>-</w:t>
            </w:r>
          </w:p>
        </w:tc>
        <w:tc>
          <w:tcPr>
            <w:tcW w:w="87.10pt" w:type="dxa"/>
          </w:tcPr>
          <w:p w14:paraId="06446084" w14:textId="77777777" w:rsidR="001F7FE2" w:rsidRDefault="00000000">
            <w:r>
              <w:t>✓</w:t>
            </w:r>
          </w:p>
        </w:tc>
        <w:tc>
          <w:tcPr>
            <w:tcW w:w="87.10pt" w:type="dxa"/>
          </w:tcPr>
          <w:p w14:paraId="08375690" w14:textId="77777777" w:rsidR="001F7FE2" w:rsidRDefault="00000000">
            <w:r>
              <w:t>-</w:t>
            </w:r>
          </w:p>
        </w:tc>
        <w:tc>
          <w:tcPr>
            <w:tcW w:w="87.10pt" w:type="dxa"/>
          </w:tcPr>
          <w:p w14:paraId="4E00850A" w14:textId="77777777" w:rsidR="001F7FE2" w:rsidRDefault="00000000">
            <w:r>
              <w:t>-</w:t>
            </w:r>
          </w:p>
        </w:tc>
        <w:tc>
          <w:tcPr>
            <w:tcW w:w="87.10pt" w:type="dxa"/>
          </w:tcPr>
          <w:p w14:paraId="04FCA95A" w14:textId="77777777" w:rsidR="001F7FE2" w:rsidRDefault="00000000">
            <w:r>
              <w:t>-</w:t>
            </w:r>
          </w:p>
        </w:tc>
      </w:tr>
      <w:tr w:rsidR="001F7FE2" w14:paraId="4F34215E" w14:textId="77777777">
        <w:tc>
          <w:tcPr>
            <w:tcW w:w="87.10pt" w:type="dxa"/>
          </w:tcPr>
          <w:p w14:paraId="61388684" w14:textId="77777777" w:rsidR="001F7FE2" w:rsidRDefault="00000000">
            <w:r>
              <w:t>Approve/release general expense</w:t>
            </w:r>
          </w:p>
        </w:tc>
        <w:tc>
          <w:tcPr>
            <w:tcW w:w="87.10pt" w:type="dxa"/>
          </w:tcPr>
          <w:p w14:paraId="508D6512" w14:textId="77777777" w:rsidR="001F7FE2" w:rsidRDefault="00000000">
            <w:r>
              <w:t>-</w:t>
            </w:r>
          </w:p>
        </w:tc>
        <w:tc>
          <w:tcPr>
            <w:tcW w:w="87.10pt" w:type="dxa"/>
          </w:tcPr>
          <w:p w14:paraId="5B6B4BB0" w14:textId="77777777" w:rsidR="001F7FE2" w:rsidRDefault="00000000">
            <w:r>
              <w:t>-</w:t>
            </w:r>
          </w:p>
        </w:tc>
        <w:tc>
          <w:tcPr>
            <w:tcW w:w="87.10pt" w:type="dxa"/>
          </w:tcPr>
          <w:p w14:paraId="3E438B36" w14:textId="77777777" w:rsidR="001F7FE2" w:rsidRDefault="00000000">
            <w:r>
              <w:t>✓</w:t>
            </w:r>
          </w:p>
        </w:tc>
        <w:tc>
          <w:tcPr>
            <w:tcW w:w="87.10pt" w:type="dxa"/>
          </w:tcPr>
          <w:p w14:paraId="40405C27" w14:textId="77777777" w:rsidR="001F7FE2" w:rsidRDefault="00000000">
            <w:r>
              <w:t>-</w:t>
            </w:r>
          </w:p>
        </w:tc>
        <w:tc>
          <w:tcPr>
            <w:tcW w:w="87.10pt" w:type="dxa"/>
          </w:tcPr>
          <w:p w14:paraId="001C0D3A" w14:textId="77777777" w:rsidR="001F7FE2" w:rsidRDefault="00000000">
            <w:r>
              <w:t>-</w:t>
            </w:r>
          </w:p>
        </w:tc>
      </w:tr>
      <w:tr w:rsidR="001F7FE2" w14:paraId="61266F01" w14:textId="77777777">
        <w:tc>
          <w:tcPr>
            <w:tcW w:w="87.10pt" w:type="dxa"/>
          </w:tcPr>
          <w:p w14:paraId="1DF0EEF1" w14:textId="77777777" w:rsidR="001F7FE2" w:rsidRDefault="00000000">
            <w:r>
              <w:t>Release funds (partial/full)</w:t>
            </w:r>
          </w:p>
        </w:tc>
        <w:tc>
          <w:tcPr>
            <w:tcW w:w="87.10pt" w:type="dxa"/>
          </w:tcPr>
          <w:p w14:paraId="3F0B429B" w14:textId="77777777" w:rsidR="001F7FE2" w:rsidRDefault="00000000">
            <w:r>
              <w:t>-</w:t>
            </w:r>
          </w:p>
        </w:tc>
        <w:tc>
          <w:tcPr>
            <w:tcW w:w="87.10pt" w:type="dxa"/>
          </w:tcPr>
          <w:p w14:paraId="2E0710D9" w14:textId="77777777" w:rsidR="001F7FE2" w:rsidRDefault="00000000">
            <w:r>
              <w:t>-</w:t>
            </w:r>
          </w:p>
        </w:tc>
        <w:tc>
          <w:tcPr>
            <w:tcW w:w="87.10pt" w:type="dxa"/>
          </w:tcPr>
          <w:p w14:paraId="601E14D2" w14:textId="77777777" w:rsidR="001F7FE2" w:rsidRDefault="00000000">
            <w:r>
              <w:t>✓</w:t>
            </w:r>
          </w:p>
        </w:tc>
        <w:tc>
          <w:tcPr>
            <w:tcW w:w="87.10pt" w:type="dxa"/>
          </w:tcPr>
          <w:p w14:paraId="7D119AC5" w14:textId="77777777" w:rsidR="001F7FE2" w:rsidRDefault="00000000">
            <w:r>
              <w:t>-</w:t>
            </w:r>
          </w:p>
        </w:tc>
        <w:tc>
          <w:tcPr>
            <w:tcW w:w="87.10pt" w:type="dxa"/>
          </w:tcPr>
          <w:p w14:paraId="276B79A5" w14:textId="77777777" w:rsidR="001F7FE2" w:rsidRDefault="00000000">
            <w:r>
              <w:t>-</w:t>
            </w:r>
          </w:p>
        </w:tc>
      </w:tr>
      <w:tr w:rsidR="001F7FE2" w14:paraId="453EC044" w14:textId="77777777">
        <w:tc>
          <w:tcPr>
            <w:tcW w:w="87.10pt" w:type="dxa"/>
          </w:tcPr>
          <w:p w14:paraId="1A7D5ED2" w14:textId="77777777" w:rsidR="001F7FE2" w:rsidRDefault="00000000">
            <w:r>
              <w:t>Post expense to ledger</w:t>
            </w:r>
          </w:p>
        </w:tc>
        <w:tc>
          <w:tcPr>
            <w:tcW w:w="87.10pt" w:type="dxa"/>
          </w:tcPr>
          <w:p w14:paraId="56AB4F84" w14:textId="77777777" w:rsidR="001F7FE2" w:rsidRDefault="00000000">
            <w:r>
              <w:t>-</w:t>
            </w:r>
          </w:p>
        </w:tc>
        <w:tc>
          <w:tcPr>
            <w:tcW w:w="87.10pt" w:type="dxa"/>
          </w:tcPr>
          <w:p w14:paraId="051661C2" w14:textId="77777777" w:rsidR="001F7FE2" w:rsidRDefault="00000000">
            <w:r>
              <w:t>-</w:t>
            </w:r>
          </w:p>
        </w:tc>
        <w:tc>
          <w:tcPr>
            <w:tcW w:w="87.10pt" w:type="dxa"/>
          </w:tcPr>
          <w:p w14:paraId="46B10B0B" w14:textId="77777777" w:rsidR="001F7FE2" w:rsidRDefault="00000000">
            <w:r>
              <w:t>✓</w:t>
            </w:r>
          </w:p>
        </w:tc>
        <w:tc>
          <w:tcPr>
            <w:tcW w:w="87.10pt" w:type="dxa"/>
          </w:tcPr>
          <w:p w14:paraId="11018E59" w14:textId="77777777" w:rsidR="001F7FE2" w:rsidRDefault="00000000">
            <w:r>
              <w:t>-</w:t>
            </w:r>
          </w:p>
        </w:tc>
        <w:tc>
          <w:tcPr>
            <w:tcW w:w="87.10pt" w:type="dxa"/>
          </w:tcPr>
          <w:p w14:paraId="03BEAEA6" w14:textId="77777777" w:rsidR="001F7FE2" w:rsidRDefault="00000000">
            <w:r>
              <w:t>-</w:t>
            </w:r>
          </w:p>
        </w:tc>
      </w:tr>
      <w:tr w:rsidR="001F7FE2" w14:paraId="17978974" w14:textId="77777777">
        <w:tc>
          <w:tcPr>
            <w:tcW w:w="87.10pt" w:type="dxa"/>
          </w:tcPr>
          <w:p w14:paraId="1362BFC1" w14:textId="77777777" w:rsidR="001F7FE2" w:rsidRDefault="00000000">
            <w:r>
              <w:t>View dashboards</w:t>
            </w:r>
          </w:p>
        </w:tc>
        <w:tc>
          <w:tcPr>
            <w:tcW w:w="87.10pt" w:type="dxa"/>
          </w:tcPr>
          <w:p w14:paraId="4E631ACA" w14:textId="77777777" w:rsidR="001F7FE2" w:rsidRDefault="00000000">
            <w:r>
              <w:t>✓</w:t>
            </w:r>
          </w:p>
        </w:tc>
        <w:tc>
          <w:tcPr>
            <w:tcW w:w="87.10pt" w:type="dxa"/>
          </w:tcPr>
          <w:p w14:paraId="4B07A2C1" w14:textId="77777777" w:rsidR="001F7FE2" w:rsidRDefault="00000000">
            <w:r>
              <w:t>✓</w:t>
            </w:r>
          </w:p>
        </w:tc>
        <w:tc>
          <w:tcPr>
            <w:tcW w:w="87.10pt" w:type="dxa"/>
          </w:tcPr>
          <w:p w14:paraId="7EFBAB1D" w14:textId="77777777" w:rsidR="001F7FE2" w:rsidRDefault="00000000">
            <w:r>
              <w:t>✓</w:t>
            </w:r>
          </w:p>
        </w:tc>
        <w:tc>
          <w:tcPr>
            <w:tcW w:w="87.10pt" w:type="dxa"/>
          </w:tcPr>
          <w:p w14:paraId="17E0720C" w14:textId="77777777" w:rsidR="001F7FE2" w:rsidRDefault="00000000">
            <w:r>
              <w:t>✓ (own)</w:t>
            </w:r>
          </w:p>
        </w:tc>
        <w:tc>
          <w:tcPr>
            <w:tcW w:w="87.10pt" w:type="dxa"/>
          </w:tcPr>
          <w:p w14:paraId="1883E93D" w14:textId="77777777" w:rsidR="001F7FE2" w:rsidRDefault="00000000">
            <w:r>
              <w:t>Limited</w:t>
            </w:r>
          </w:p>
        </w:tc>
      </w:tr>
      <w:tr w:rsidR="001F7FE2" w14:paraId="18CF1580" w14:textId="77777777">
        <w:tc>
          <w:tcPr>
            <w:tcW w:w="87.10pt" w:type="dxa"/>
          </w:tcPr>
          <w:p w14:paraId="2B80D4C6" w14:textId="77777777" w:rsidR="001F7FE2" w:rsidRDefault="00000000">
            <w:r>
              <w:t>Denomination aggregated income</w:t>
            </w:r>
          </w:p>
        </w:tc>
        <w:tc>
          <w:tcPr>
            <w:tcW w:w="87.10pt" w:type="dxa"/>
          </w:tcPr>
          <w:p w14:paraId="086F7B29" w14:textId="77777777" w:rsidR="001F7FE2" w:rsidRDefault="00000000">
            <w:r>
              <w:t>Config</w:t>
            </w:r>
          </w:p>
        </w:tc>
        <w:tc>
          <w:tcPr>
            <w:tcW w:w="87.10pt" w:type="dxa"/>
          </w:tcPr>
          <w:p w14:paraId="37D49575" w14:textId="77777777" w:rsidR="001F7FE2" w:rsidRDefault="00000000">
            <w:r>
              <w:t>Read-only*</w:t>
            </w:r>
          </w:p>
        </w:tc>
        <w:tc>
          <w:tcPr>
            <w:tcW w:w="87.10pt" w:type="dxa"/>
          </w:tcPr>
          <w:p w14:paraId="717680DE" w14:textId="77777777" w:rsidR="001F7FE2" w:rsidRDefault="00000000">
            <w:r>
              <w:t>Read-only*</w:t>
            </w:r>
          </w:p>
        </w:tc>
        <w:tc>
          <w:tcPr>
            <w:tcW w:w="87.10pt" w:type="dxa"/>
          </w:tcPr>
          <w:p w14:paraId="6A3ABCE8" w14:textId="77777777" w:rsidR="001F7FE2" w:rsidRDefault="00000000">
            <w:r>
              <w:t>-</w:t>
            </w:r>
          </w:p>
        </w:tc>
        <w:tc>
          <w:tcPr>
            <w:tcW w:w="87.10pt" w:type="dxa"/>
          </w:tcPr>
          <w:p w14:paraId="6A6DFEA6" w14:textId="77777777" w:rsidR="001F7FE2" w:rsidRDefault="00000000">
            <w:r>
              <w:t>-</w:t>
            </w:r>
          </w:p>
        </w:tc>
      </w:tr>
    </w:tbl>
    <w:p w14:paraId="5B789841" w14:textId="77777777" w:rsidR="001F7FE2" w:rsidRDefault="001F7FE2">
      <w:pPr>
        <w:pStyle w:val="BodyText"/>
      </w:pPr>
    </w:p>
    <w:p w14:paraId="3C75DDC4" w14:textId="77777777" w:rsidR="001F7FE2" w:rsidRDefault="00000000">
      <w:pPr>
        <w:pStyle w:val="BodyText"/>
      </w:pPr>
      <w:r>
        <w:t>*Enabled only when churches are linked to a denomination; aggregation is read-only and tenant isolation is enforced.</w:t>
      </w:r>
    </w:p>
    <w:p w14:paraId="10C96E1D" w14:textId="1F60D51E" w:rsidR="001F7FE2" w:rsidRDefault="00000000">
      <w:pPr>
        <w:pStyle w:val="Heading2"/>
      </w:pPr>
      <w:r>
        <w:t xml:space="preserve"> Tenant Isolation</w:t>
      </w:r>
    </w:p>
    <w:p w14:paraId="1A921412" w14:textId="77777777" w:rsidR="001F7FE2" w:rsidRDefault="00000000">
      <w:pPr>
        <w:pStyle w:val="BodyText"/>
      </w:pPr>
      <w:r>
        <w:t>All records are scoped by a church identifier. Authorization checks require that the active user’s tenant matches the target record tenant, except for explicitly permitted read-only aggregation queries. This prevents cross-church data leakage in multi-church deployments.</w:t>
      </w:r>
    </w:p>
    <w:p w14:paraId="7118BF97" w14:textId="5D7A5393" w:rsidR="001F7FE2" w:rsidRDefault="00000000">
      <w:pPr>
        <w:pStyle w:val="Heading1"/>
      </w:pPr>
      <w:r>
        <w:t>EXPERIMENTAL SETUP AND RESULTS</w:t>
      </w:r>
    </w:p>
    <w:p w14:paraId="5D7B07E1" w14:textId="77777777" w:rsidR="001F7FE2" w:rsidRDefault="00000000">
      <w:pPr>
        <w:pStyle w:val="BodyText"/>
      </w:pPr>
      <w:r>
        <w:t>To demonstrate feasibility and to support conference evaluation expectations, a pilot evaluation can be performed using a synthetic dataset derived from realistic church operations: monthly income entries (tithes/offerings/donations), expense requests across ministries, partial releases, and receipt attachments. The evaluation focuses on control effectiveness (overspending prevention), processing efficiency (posting time), and documentation completeness.</w:t>
      </w:r>
    </w:p>
    <w:p w14:paraId="53EA1EAD" w14:textId="77777777" w:rsidR="001F7FE2" w:rsidRDefault="00000000">
      <w:pPr>
        <w:pStyle w:val="Heading2"/>
      </w:pPr>
      <w:r>
        <w:t>A. Metrics</w:t>
      </w:r>
    </w:p>
    <w:p w14:paraId="57A7A7D1" w14:textId="77777777" w:rsidR="001F7FE2" w:rsidRDefault="00000000">
      <w:pPr>
        <w:pStyle w:val="BodyText"/>
      </w:pPr>
      <w:r>
        <w:t>M1) Posting latency: median time from expense occurrence to Posted status. M2) Documentation completeness: percentage of Posted expenses with attached receipt evidence. M3) Overspending prevention: count of blocked approvals due to insufficient available balance. M4) RBAC enforcement: number of unauthorized action attempts correctly denied. M5) Optimization utility: priority-weight satisfaction under identical total budget T.</w:t>
      </w:r>
    </w:p>
    <w:p w14:paraId="55DDD604" w14:textId="77777777" w:rsidR="001F7FE2" w:rsidRDefault="00000000">
      <w:pPr>
        <w:pStyle w:val="Heading2"/>
      </w:pPr>
      <w:r>
        <w:t>B. Sample Pilot Outcomes (Illustrative)</w:t>
      </w:r>
    </w:p>
    <w:tbl>
      <w:tblPr>
        <w:tblStyle w:val="TableGrid"/>
        <w:tblW w:w="100.0%" w:type="pct"/>
        <w:tblLayout w:type="fixed"/>
        <w:tblLook w:firstRow="1" w:lastRow="0" w:firstColumn="1" w:lastColumn="0" w:noHBand="0" w:noVBand="1"/>
      </w:tblPr>
      <w:tblGrid>
        <w:gridCol w:w="1215"/>
        <w:gridCol w:w="1214"/>
        <w:gridCol w:w="1214"/>
        <w:gridCol w:w="1214"/>
      </w:tblGrid>
      <w:tr w:rsidR="001F7FE2" w14:paraId="2EAD1B65" w14:textId="77777777">
        <w:tc>
          <w:tcPr>
            <w:tcW w:w="130.65pt" w:type="dxa"/>
          </w:tcPr>
          <w:p w14:paraId="3A68302B" w14:textId="77777777" w:rsidR="001F7FE2" w:rsidRDefault="00000000">
            <w:r>
              <w:t>Metric</w:t>
            </w:r>
          </w:p>
        </w:tc>
        <w:tc>
          <w:tcPr>
            <w:tcW w:w="130.65pt" w:type="dxa"/>
          </w:tcPr>
          <w:p w14:paraId="4A0CBDDC" w14:textId="77777777" w:rsidR="001F7FE2" w:rsidRDefault="00000000">
            <w:r>
              <w:t>Baseline (Manual/No OCR)</w:t>
            </w:r>
          </w:p>
        </w:tc>
        <w:tc>
          <w:tcPr>
            <w:tcW w:w="130.65pt" w:type="dxa"/>
          </w:tcPr>
          <w:p w14:paraId="65DC6B66" w14:textId="77777777" w:rsidR="001F7FE2" w:rsidRDefault="00000000">
            <w:r>
              <w:t>With AICFMS</w:t>
            </w:r>
          </w:p>
        </w:tc>
        <w:tc>
          <w:tcPr>
            <w:tcW w:w="130.65pt" w:type="dxa"/>
          </w:tcPr>
          <w:p w14:paraId="54111706" w14:textId="77777777" w:rsidR="001F7FE2" w:rsidRDefault="00000000">
            <w:r>
              <w:t>Interpretation</w:t>
            </w:r>
          </w:p>
        </w:tc>
      </w:tr>
      <w:tr w:rsidR="001F7FE2" w14:paraId="3FDAF32B" w14:textId="77777777">
        <w:tc>
          <w:tcPr>
            <w:tcW w:w="130.65pt" w:type="dxa"/>
          </w:tcPr>
          <w:p w14:paraId="4200BFD8" w14:textId="77777777" w:rsidR="001F7FE2" w:rsidRDefault="00000000">
            <w:r>
              <w:t>Median posting latency</w:t>
            </w:r>
          </w:p>
        </w:tc>
        <w:tc>
          <w:tcPr>
            <w:tcW w:w="130.65pt" w:type="dxa"/>
          </w:tcPr>
          <w:p w14:paraId="31CC8641" w14:textId="77777777" w:rsidR="001F7FE2" w:rsidRDefault="00000000">
            <w:r>
              <w:t>7–14 days</w:t>
            </w:r>
          </w:p>
        </w:tc>
        <w:tc>
          <w:tcPr>
            <w:tcW w:w="130.65pt" w:type="dxa"/>
          </w:tcPr>
          <w:p w14:paraId="0E473BB7" w14:textId="77777777" w:rsidR="001F7FE2" w:rsidRDefault="00000000">
            <w:r>
              <w:t>1–3 days</w:t>
            </w:r>
          </w:p>
        </w:tc>
        <w:tc>
          <w:tcPr>
            <w:tcW w:w="130.65pt" w:type="dxa"/>
          </w:tcPr>
          <w:p w14:paraId="5DCA95A0" w14:textId="77777777" w:rsidR="001F7FE2" w:rsidRDefault="00000000">
            <w:r>
              <w:t>Faster posting due to workflow + OCR</w:t>
            </w:r>
          </w:p>
        </w:tc>
      </w:tr>
      <w:tr w:rsidR="001F7FE2" w14:paraId="3441DBEB" w14:textId="77777777">
        <w:tc>
          <w:tcPr>
            <w:tcW w:w="130.65pt" w:type="dxa"/>
          </w:tcPr>
          <w:p w14:paraId="4DAF7C81" w14:textId="77777777" w:rsidR="001F7FE2" w:rsidRDefault="00000000">
            <w:r>
              <w:t>Receipt attachment rate</w:t>
            </w:r>
          </w:p>
        </w:tc>
        <w:tc>
          <w:tcPr>
            <w:tcW w:w="130.65pt" w:type="dxa"/>
          </w:tcPr>
          <w:p w14:paraId="6048506E" w14:textId="77777777" w:rsidR="001F7FE2" w:rsidRDefault="00000000">
            <w:r>
              <w:t>60–75%</w:t>
            </w:r>
          </w:p>
        </w:tc>
        <w:tc>
          <w:tcPr>
            <w:tcW w:w="130.65pt" w:type="dxa"/>
          </w:tcPr>
          <w:p w14:paraId="5142778F" w14:textId="77777777" w:rsidR="001F7FE2" w:rsidRDefault="00000000">
            <w:r>
              <w:t>90–98%</w:t>
            </w:r>
          </w:p>
        </w:tc>
        <w:tc>
          <w:tcPr>
            <w:tcW w:w="130.65pt" w:type="dxa"/>
          </w:tcPr>
          <w:p w14:paraId="7DF17C7E" w14:textId="77777777" w:rsidR="001F7FE2" w:rsidRDefault="00000000">
            <w:r>
              <w:t>Higher audit evidence completeness</w:t>
            </w:r>
          </w:p>
        </w:tc>
      </w:tr>
      <w:tr w:rsidR="001F7FE2" w14:paraId="48118FBC" w14:textId="77777777">
        <w:tc>
          <w:tcPr>
            <w:tcW w:w="130.65pt" w:type="dxa"/>
          </w:tcPr>
          <w:p w14:paraId="5D9EA0CF" w14:textId="77777777" w:rsidR="001F7FE2" w:rsidRDefault="00000000">
            <w:r>
              <w:t>Overspending incidents</w:t>
            </w:r>
          </w:p>
        </w:tc>
        <w:tc>
          <w:tcPr>
            <w:tcW w:w="130.65pt" w:type="dxa"/>
          </w:tcPr>
          <w:p w14:paraId="298C0842" w14:textId="77777777" w:rsidR="001F7FE2" w:rsidRDefault="00000000">
            <w:r>
              <w:t>Occasional</w:t>
            </w:r>
          </w:p>
        </w:tc>
        <w:tc>
          <w:tcPr>
            <w:tcW w:w="130.65pt" w:type="dxa"/>
          </w:tcPr>
          <w:p w14:paraId="7C258465" w14:textId="77777777" w:rsidR="001F7FE2" w:rsidRDefault="00000000">
            <w:r>
              <w:t>Near-zero</w:t>
            </w:r>
          </w:p>
        </w:tc>
        <w:tc>
          <w:tcPr>
            <w:tcW w:w="130.65pt" w:type="dxa"/>
          </w:tcPr>
          <w:p w14:paraId="46550E47" w14:textId="77777777" w:rsidR="001F7FE2" w:rsidRDefault="00000000">
            <w:r>
              <w:t>Encumbrance blocks approvals</w:t>
            </w:r>
          </w:p>
        </w:tc>
      </w:tr>
      <w:tr w:rsidR="001F7FE2" w14:paraId="436302D9" w14:textId="77777777">
        <w:tc>
          <w:tcPr>
            <w:tcW w:w="130.65pt" w:type="dxa"/>
          </w:tcPr>
          <w:p w14:paraId="64C4063F" w14:textId="77777777" w:rsidR="001F7FE2" w:rsidRDefault="00000000">
            <w:r>
              <w:t>Unauthorized actions denied</w:t>
            </w:r>
          </w:p>
        </w:tc>
        <w:tc>
          <w:tcPr>
            <w:tcW w:w="130.65pt" w:type="dxa"/>
          </w:tcPr>
          <w:p w14:paraId="4F308EC1" w14:textId="77777777" w:rsidR="001F7FE2" w:rsidRDefault="00000000">
            <w:r>
              <w:t>N/A</w:t>
            </w:r>
          </w:p>
        </w:tc>
        <w:tc>
          <w:tcPr>
            <w:tcW w:w="130.65pt" w:type="dxa"/>
          </w:tcPr>
          <w:p w14:paraId="14E16339" w14:textId="77777777" w:rsidR="001F7FE2" w:rsidRDefault="00000000">
            <w:r>
              <w:t>100% (test cases)</w:t>
            </w:r>
          </w:p>
        </w:tc>
        <w:tc>
          <w:tcPr>
            <w:tcW w:w="130.65pt" w:type="dxa"/>
          </w:tcPr>
          <w:p w14:paraId="25A844C5" w14:textId="77777777" w:rsidR="001F7FE2" w:rsidRDefault="00000000">
            <w:r>
              <w:t>RBAC prevents policy violations</w:t>
            </w:r>
          </w:p>
        </w:tc>
      </w:tr>
      <w:tr w:rsidR="001F7FE2" w14:paraId="1ABD89F7" w14:textId="77777777">
        <w:tc>
          <w:tcPr>
            <w:tcW w:w="130.65pt" w:type="dxa"/>
          </w:tcPr>
          <w:p w14:paraId="48710B09" w14:textId="77777777" w:rsidR="001F7FE2" w:rsidRDefault="00000000">
            <w:r>
              <w:t>Budget reallocation what-if time</w:t>
            </w:r>
          </w:p>
        </w:tc>
        <w:tc>
          <w:tcPr>
            <w:tcW w:w="130.65pt" w:type="dxa"/>
          </w:tcPr>
          <w:p w14:paraId="33C127B2" w14:textId="77777777" w:rsidR="001F7FE2" w:rsidRDefault="00000000">
            <w:r>
              <w:t>Hours</w:t>
            </w:r>
          </w:p>
        </w:tc>
        <w:tc>
          <w:tcPr>
            <w:tcW w:w="130.65pt" w:type="dxa"/>
          </w:tcPr>
          <w:p w14:paraId="141C9FD3" w14:textId="77777777" w:rsidR="001F7FE2" w:rsidRDefault="00000000">
            <w:r>
              <w:t>Minutes</w:t>
            </w:r>
          </w:p>
        </w:tc>
        <w:tc>
          <w:tcPr>
            <w:tcW w:w="130.65pt" w:type="dxa"/>
          </w:tcPr>
          <w:p w14:paraId="292C120F" w14:textId="77777777" w:rsidR="001F7FE2" w:rsidRDefault="00000000">
            <w:r>
              <w:t>Optimizer + sandboxing</w:t>
            </w:r>
          </w:p>
        </w:tc>
      </w:tr>
    </w:tbl>
    <w:p w14:paraId="74628B44" w14:textId="77777777" w:rsidR="001F7FE2" w:rsidRDefault="001F7FE2">
      <w:pPr>
        <w:pStyle w:val="BodyText"/>
      </w:pPr>
    </w:p>
    <w:p w14:paraId="038594EF" w14:textId="77777777" w:rsidR="001F7FE2" w:rsidRDefault="00000000">
      <w:pPr>
        <w:pStyle w:val="BodyText"/>
      </w:pPr>
      <w:r>
        <w:t>These illustrative outcomes reflect expected improvements from enforcing state transitions, reserving budgets at approval, and attaching receipts at posting. In a full deployment, results should be reported with actual church data and statistical summaries across multiple months.</w:t>
      </w:r>
    </w:p>
    <w:p w14:paraId="36AF5796" w14:textId="77777777" w:rsidR="001F7FE2" w:rsidRDefault="00000000">
      <w:pPr>
        <w:pStyle w:val="Heading1"/>
      </w:pPr>
      <w:r>
        <w:t>XI. DISCUSSION</w:t>
      </w:r>
    </w:p>
    <w:p w14:paraId="7FBFE942" w14:textId="77777777" w:rsidR="001F7FE2" w:rsidRDefault="00000000">
      <w:pPr>
        <w:pStyle w:val="BodyText"/>
      </w:pPr>
      <w:r>
        <w:t>AICFMS integrates control (RBAC + workflow + encumbrance) with decision support (dashboards + health scoring + optimization). Encumbrance-style reservation reduces a common failure mode in manual church budgeting: approvals that ignore prior commitments. OCR-backed evidence capture reduces posting burden and increases documentation completeness. Optimization transforms budgeting from purely descriptive reporting into proactive allocation planning while maintaining explainability through explicit constraints and priority weights.</w:t>
      </w:r>
    </w:p>
    <w:p w14:paraId="00648C08" w14:textId="77777777" w:rsidR="001F7FE2" w:rsidRDefault="00000000">
      <w:pPr>
        <w:pStyle w:val="BodyText"/>
      </w:pPr>
      <w:r>
        <w:t>Limitations include OCR sensitivity to image quality and the need to calibrate health thresholds to local context. Mitigations include mandatory review for low-confidence OCR fields and gradual calibration using historical data. The proposed design is intended to remain transparent to church leaders—particularly in explaining why an allocation or priority suggestion is recommended.</w:t>
      </w:r>
    </w:p>
    <w:p w14:paraId="2C5CB68B" w14:textId="77777777" w:rsidR="001F7FE2" w:rsidRDefault="00000000">
      <w:pPr>
        <w:pStyle w:val="Heading1"/>
      </w:pPr>
      <w:r>
        <w:lastRenderedPageBreak/>
        <w:t>XII. CONCLUSION AND FUTURE WORK</w:t>
      </w:r>
    </w:p>
    <w:p w14:paraId="7BD3CFB4" w14:textId="77777777" w:rsidR="001F7FE2" w:rsidRDefault="00000000">
      <w:pPr>
        <w:pStyle w:val="BodyText"/>
      </w:pPr>
      <w:r>
        <w:t>This paper presented an AI-Integrated Church Financial Management System that supports transparent stewardship by combining policy-driven workflows, encumbrance-style budgeting, OCR-assisted posting, bank-side tracking and reconciliation, and optimization-based allocation recommendations. The design improves accountability through audit trails and role-based controls, prevents overspending by reserving budgets upon approval, and supports mission alignment through health scoring and priority-guided recommendations. Future work includes anomaly detection for suspicious patterns, expanded reporting for donor transparency, and longitudinal validation across multiple churches and fiscal years.</w:t>
      </w:r>
    </w:p>
    <w:p w14:paraId="07D4397C" w14:textId="77777777" w:rsidR="001F7FE2" w:rsidRDefault="00000000">
      <w:pPr>
        <w:pStyle w:val="Heading1"/>
      </w:pPr>
      <w:r>
        <w:t>REFERENCES</w:t>
      </w:r>
    </w:p>
    <w:p w14:paraId="73ADFEB8" w14:textId="77777777" w:rsidR="001F7FE2" w:rsidRDefault="00000000">
      <w:pPr>
        <w:pStyle w:val="references"/>
      </w:pPr>
      <w:r>
        <w:t>[1] D. F. Ferraiolo, D. R. Kuhn, and R. Chandramouli, Role-Based Access Control, 2nd ed. Boston, MA, USA: Artech House, 2007.</w:t>
      </w:r>
    </w:p>
    <w:p w14:paraId="7511CD48" w14:textId="77777777" w:rsidR="001F7FE2" w:rsidRDefault="00000000">
      <w:pPr>
        <w:pStyle w:val="references"/>
      </w:pPr>
      <w:r>
        <w:t>[2] N. Li and M. V. Tripunitara, “A critique of the ANSI standard on role-based access control,” Purdue University, Tech. Rep., 2006. [Online]. Available: https://www.cs.purdue.edu/homes/ninghui/papers/aboutRBACStandard.pdf</w:t>
      </w:r>
    </w:p>
    <w:p w14:paraId="46FD277C" w14:textId="77777777" w:rsidR="001F7FE2" w:rsidRDefault="00000000">
      <w:pPr>
        <w:pStyle w:val="references"/>
      </w:pPr>
      <w:r>
        <w:t>[3] American National Standards Institute, “ANSI INCITS 359-2004: Role Based Access Control,” 2004. [Online]. Available: https://profsandhu.com/journals/tissec/ANSI%2BINCITS%2B359-2004.pdf</w:t>
      </w:r>
    </w:p>
    <w:p w14:paraId="78E0A246" w14:textId="77777777" w:rsidR="001F7FE2" w:rsidRDefault="00000000">
      <w:pPr>
        <w:pStyle w:val="references"/>
      </w:pPr>
      <w:r>
        <w:t>[4] New York State Office of the State Comptroller, Accounting and Reporting Manual, sections on budgetary accounting and encumbrances, 2015 (rev.). [Online]. Available: https://www.ontariocountyny.gov/DocumentCenter/View/40/NYSAccountingReportingManual</w:t>
      </w:r>
    </w:p>
    <w:p w14:paraId="5CBE5CA7" w14:textId="77777777" w:rsidR="001F7FE2" w:rsidRDefault="00000000">
      <w:pPr>
        <w:pStyle w:val="references"/>
      </w:pPr>
      <w:r>
        <w:t>[5] R. Smith, “An overview of the Tesseract OCR engine,” in Proc. Ninth Int. Conf. Document Analysis and Recognition (ICDAR), 2007. [Online]. Available: https://research.google.com/pubs/archive/33418.pdf</w:t>
      </w:r>
    </w:p>
    <w:p w14:paraId="0DF54B03" w14:textId="77777777" w:rsidR="001F7FE2" w:rsidRDefault="00000000">
      <w:pPr>
        <w:pStyle w:val="references"/>
      </w:pPr>
      <w:r>
        <w:t>[6] H. P. Tuckman and C. F. Chang, “A methodology for measuring the financial vulnerability of charitable nonprofit organizations,” Voluntas: Int. J. Voluntary and Nonprofit Organizations, vol. 2, no. 1, pp. 51–64, 1991. [Online]. Available: https://journals.sagepub.com/doi/10.1177/089976409102000407</w:t>
      </w:r>
    </w:p>
    <w:p w14:paraId="164B6B7D" w14:textId="77777777" w:rsidR="001F7FE2" w:rsidRDefault="00000000">
      <w:pPr>
        <w:pStyle w:val="references"/>
      </w:pPr>
      <w:r>
        <w:t>[7] E. K. Keating, M. Fischer, T. P. Gordon, and J. S. Greenlee, “Assessing financial vulnerability in the nonprofit sector,” Harvard Kennedy School Faculty Research Working Paper Series, RWP05-002, 2005. [Online]. Available: https://seachangecap.org/wp-content/uploads/2016/02/Assessing-Financial-Vulnerability-in-the-Nonprofit-Sector.pdf</w:t>
      </w:r>
    </w:p>
    <w:p w14:paraId="66675321" w14:textId="77777777" w:rsidR="001F7FE2" w:rsidRDefault="00000000">
      <w:pPr>
        <w:pStyle w:val="references"/>
      </w:pPr>
      <w:r>
        <w:t xml:space="preserve">[8] D. S. Hochbaum, “Lower and upper bounds for the allocation problem and other nonlinear optimization problems,” Mathematics of Operations Research, vol. 19, no. 2, pp. 390–409, May 1994. </w:t>
      </w:r>
    </w:p>
    <w:p w14:paraId="24ED0616" w14:textId="77777777" w:rsidR="001F7FE2" w:rsidRDefault="00000000">
      <w:pPr>
        <w:pStyle w:val="references"/>
      </w:pPr>
      <w:r>
        <w:t>[9] Department of Budget and Management (DBM), Budget Operations Manual for Local Government Units (BOM for LGUs), 2023 Edition. Manila, Philippines: DBM, Aug. 2, 2023. [Online]. Available: https://www.dbm.gov.ph/wp-content/uploads/Issuances/2023/Local-Budget-Circular/Budget%20Operations%20Manual%20for%20LGUs%2C%202023%20Edition.pdf</w:t>
      </w:r>
    </w:p>
    <w:sectPr w:rsidR="001F7FE2" w:rsidSect="001E1C43">
      <w:type w:val="continuous"/>
      <w:pgSz w:w="612pt" w:h="792pt" w:code="1"/>
      <w:pgMar w:top="54pt" w:right="44.65pt" w:bottom="72pt" w:left="44.65pt" w:header="36pt" w:footer="36pt" w:gutter="0pt"/>
      <w:cols w:num="2"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1F124FDC" w14:textId="77777777" w:rsidR="00AB2DE1" w:rsidRDefault="00AB2DE1" w:rsidP="001A3B3D">
      <w:r>
        <w:separator/>
      </w:r>
    </w:p>
  </w:endnote>
  <w:endnote w:type="continuationSeparator" w:id="0">
    <w:p w14:paraId="21E705C2" w14:textId="77777777" w:rsidR="00AB2DE1" w:rsidRDefault="00AB2DE1"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Helvetica">
    <w:panose1 w:val="020B0604020202020204"/>
    <w:charset w:characterSet="iso-8859-1"/>
    <w:family w:val="swiss"/>
    <w:pitch w:val="variable"/>
    <w:sig w:usb0="E0002EFF" w:usb1="C000785B" w:usb2="00000009" w:usb3="00000000" w:csb0="000001FF" w:csb1="00000000"/>
  </w:font>
  <w:font w:name="DengXian">
    <w:altName w:val="等线"/>
    <w:panose1 w:val="02010600030101010101"/>
    <w:charset w:characterSet="GBK"/>
    <w:family w:val="auto"/>
    <w:pitch w:val="variable"/>
    <w:sig w:usb0="A00002BF" w:usb1="38CF7CFA" w:usb2="00000016" w:usb3="00000000" w:csb0="0004000F" w:csb1="00000000"/>
  </w:font>
  <w:font w:name="DengXian Light">
    <w:altName w:val="等线 Light"/>
    <w:charset w:characterSet="GBK"/>
    <w:family w:val="auto"/>
    <w:pitch w:val="variable"/>
    <w:sig w:usb0="A00002BF" w:usb1="38CF7CFA" w:usb2="00000016" w:usb3="00000000" w:csb0="0004000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F04E442" w14:textId="77777777"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39F887CE" w14:textId="77777777" w:rsidR="00AB2DE1" w:rsidRDefault="00AB2DE1" w:rsidP="001A3B3D">
      <w:r>
        <w:separator/>
      </w:r>
    </w:p>
  </w:footnote>
  <w:footnote w:type="continuationSeparator" w:id="0">
    <w:p w14:paraId="2E092DD6" w14:textId="77777777" w:rsidR="00AB2DE1" w:rsidRDefault="00AB2DE1"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512643938">
    <w:abstractNumId w:val="14"/>
  </w:num>
  <w:num w:numId="2" w16cid:durableId="878783742">
    <w:abstractNumId w:val="19"/>
  </w:num>
  <w:num w:numId="3" w16cid:durableId="247420283">
    <w:abstractNumId w:val="13"/>
  </w:num>
  <w:num w:numId="4" w16cid:durableId="274795329">
    <w:abstractNumId w:val="16"/>
  </w:num>
  <w:num w:numId="5" w16cid:durableId="1638143423">
    <w:abstractNumId w:val="16"/>
  </w:num>
  <w:num w:numId="6" w16cid:durableId="820271370">
    <w:abstractNumId w:val="16"/>
  </w:num>
  <w:num w:numId="7" w16cid:durableId="2060015124">
    <w:abstractNumId w:val="16"/>
  </w:num>
  <w:num w:numId="8" w16cid:durableId="1664578894">
    <w:abstractNumId w:val="18"/>
  </w:num>
  <w:num w:numId="9" w16cid:durableId="1831560914">
    <w:abstractNumId w:val="20"/>
  </w:num>
  <w:num w:numId="10" w16cid:durableId="1004896228">
    <w:abstractNumId w:val="15"/>
  </w:num>
  <w:num w:numId="11" w16cid:durableId="2003006682">
    <w:abstractNumId w:val="12"/>
  </w:num>
  <w:num w:numId="12" w16cid:durableId="252858472">
    <w:abstractNumId w:val="11"/>
  </w:num>
  <w:num w:numId="13" w16cid:durableId="962619011">
    <w:abstractNumId w:val="0"/>
  </w:num>
  <w:num w:numId="14" w16cid:durableId="1265766713">
    <w:abstractNumId w:val="10"/>
  </w:num>
  <w:num w:numId="15" w16cid:durableId="752094206">
    <w:abstractNumId w:val="8"/>
  </w:num>
  <w:num w:numId="16" w16cid:durableId="1645239204">
    <w:abstractNumId w:val="7"/>
  </w:num>
  <w:num w:numId="17" w16cid:durableId="146896290">
    <w:abstractNumId w:val="6"/>
  </w:num>
  <w:num w:numId="18" w16cid:durableId="487095599">
    <w:abstractNumId w:val="5"/>
  </w:num>
  <w:num w:numId="19" w16cid:durableId="875435467">
    <w:abstractNumId w:val="9"/>
  </w:num>
  <w:num w:numId="20" w16cid:durableId="1582913364">
    <w:abstractNumId w:val="4"/>
  </w:num>
  <w:num w:numId="21" w16cid:durableId="379744913">
    <w:abstractNumId w:val="3"/>
  </w:num>
  <w:num w:numId="22" w16cid:durableId="1456874263">
    <w:abstractNumId w:val="2"/>
  </w:num>
  <w:num w:numId="23" w16cid:durableId="55320777">
    <w:abstractNumId w:val="1"/>
  </w:num>
  <w:num w:numId="24" w16cid:durableId="1797094521">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5079E"/>
    <w:rsid w:val="001A2EFD"/>
    <w:rsid w:val="001A3B3D"/>
    <w:rsid w:val="001A42EA"/>
    <w:rsid w:val="001B32C3"/>
    <w:rsid w:val="001B67DC"/>
    <w:rsid w:val="001D7BCF"/>
    <w:rsid w:val="001E1C43"/>
    <w:rsid w:val="001F7FE2"/>
    <w:rsid w:val="002254A9"/>
    <w:rsid w:val="00233D97"/>
    <w:rsid w:val="002850E3"/>
    <w:rsid w:val="00354FCF"/>
    <w:rsid w:val="003A19E2"/>
    <w:rsid w:val="00421EC6"/>
    <w:rsid w:val="004325FB"/>
    <w:rsid w:val="004432BA"/>
    <w:rsid w:val="0044407E"/>
    <w:rsid w:val="0047533F"/>
    <w:rsid w:val="004D72B5"/>
    <w:rsid w:val="00547E73"/>
    <w:rsid w:val="00551B7F"/>
    <w:rsid w:val="0056610F"/>
    <w:rsid w:val="00575BCA"/>
    <w:rsid w:val="005B0344"/>
    <w:rsid w:val="005B520E"/>
    <w:rsid w:val="005E2800"/>
    <w:rsid w:val="006347CF"/>
    <w:rsid w:val="00645D22"/>
    <w:rsid w:val="00651A08"/>
    <w:rsid w:val="00654204"/>
    <w:rsid w:val="00666509"/>
    <w:rsid w:val="00670434"/>
    <w:rsid w:val="006B6B66"/>
    <w:rsid w:val="006F6D3D"/>
    <w:rsid w:val="00704134"/>
    <w:rsid w:val="00715BEA"/>
    <w:rsid w:val="00732D2F"/>
    <w:rsid w:val="00740EEA"/>
    <w:rsid w:val="00794804"/>
    <w:rsid w:val="007B33F1"/>
    <w:rsid w:val="007C0308"/>
    <w:rsid w:val="007C2FF2"/>
    <w:rsid w:val="007D6232"/>
    <w:rsid w:val="007F1F99"/>
    <w:rsid w:val="007F768F"/>
    <w:rsid w:val="0080791D"/>
    <w:rsid w:val="00873603"/>
    <w:rsid w:val="008966F1"/>
    <w:rsid w:val="008A2C7D"/>
    <w:rsid w:val="008C4B23"/>
    <w:rsid w:val="008F6E2C"/>
    <w:rsid w:val="009303D9"/>
    <w:rsid w:val="00933C64"/>
    <w:rsid w:val="00972203"/>
    <w:rsid w:val="009926E7"/>
    <w:rsid w:val="00A059B3"/>
    <w:rsid w:val="00A83751"/>
    <w:rsid w:val="00AB2DE1"/>
    <w:rsid w:val="00AE3409"/>
    <w:rsid w:val="00B11A60"/>
    <w:rsid w:val="00B22613"/>
    <w:rsid w:val="00BA1025"/>
    <w:rsid w:val="00BC3420"/>
    <w:rsid w:val="00BE7D3C"/>
    <w:rsid w:val="00BF5FF6"/>
    <w:rsid w:val="00C0207F"/>
    <w:rsid w:val="00C16117"/>
    <w:rsid w:val="00C3075A"/>
    <w:rsid w:val="00C76FFC"/>
    <w:rsid w:val="00C919A4"/>
    <w:rsid w:val="00CA4392"/>
    <w:rsid w:val="00CC393F"/>
    <w:rsid w:val="00D13749"/>
    <w:rsid w:val="00D2176E"/>
    <w:rsid w:val="00D632BE"/>
    <w:rsid w:val="00D72D06"/>
    <w:rsid w:val="00D7522C"/>
    <w:rsid w:val="00D7536F"/>
    <w:rsid w:val="00D76668"/>
    <w:rsid w:val="00DB7E3F"/>
    <w:rsid w:val="00E61E12"/>
    <w:rsid w:val="00E7596C"/>
    <w:rsid w:val="00E878F2"/>
    <w:rsid w:val="00ED0149"/>
    <w:rsid w:val="00EF7DE3"/>
    <w:rsid w:val="00F03103"/>
    <w:rsid w:val="00F271DE"/>
    <w:rsid w:val="00F627DA"/>
    <w:rsid w:val="00F7288F"/>
    <w:rsid w:val="00F83A38"/>
    <w:rsid w:val="00F847A6"/>
    <w:rsid w:val="00F9441B"/>
    <w:rsid w:val="00F96569"/>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0ED7897"/>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customStyle="1" w:styleId="Paper-Title">
    <w:name w:val="Paper-Title"/>
    <w:basedOn w:val="Normal"/>
    <w:rsid w:val="00DB7E3F"/>
    <w:pPr>
      <w:spacing w:after="6pt"/>
    </w:pPr>
    <w:rPr>
      <w:rFonts w:ascii="Helvetica" w:eastAsiaTheme="minorEastAsia" w:hAnsi="Helvetica"/>
      <w:b/>
      <w:sz w:val="36"/>
    </w:rPr>
  </w:style>
  <w:style w:type="table" w:styleId="TableGrid">
    <w:name w:val="Table Grid"/>
    <w:basedOn w:val="TableNormal"/>
    <w:rsid w:val="00DB7E3F"/>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5" Type="http://purl.oclc.org/ooxml/officeDocument/relationships/webSettings" Target="webSettings.xml"/><Relationship Id="rId10" Type="http://purl.oclc.org/ooxml/officeDocument/relationships/theme" Target="theme/theme1.xml"/><Relationship Id="rId4" Type="http://purl.oclc.org/ooxml/officeDocument/relationships/settings" Target="settings.xml"/><Relationship Id="rId9"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18</TotalTime>
  <Pages>5</Pages>
  <Words>3100</Words>
  <Characters>17675</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
  <LinksUpToDate>false</LinksUpToDate>
  <CharactersWithSpaces>20734</CharactersWithSpaces>
  <SharedDoc>false</SharedDoc>
  <HyperlinksChanged>false</HyperlinksChanged>
  <AppVersion>16.0000</AppVersion>
</Properties>
</file>

<file path=docProps/app0.xml><?xml version="1.0" encoding="utf-8"?>
<Properties xmlns="http://purl.oclc.org/ooxml/officeDocument/extendedProperties" xmlns:vt="http://purl.oclc.org/ooxml/officeDocument/docPropsVTypes">
  <Template>Normal.dotm</Template>
  <TotalTime>7</TotalTime>
  <Pages>4</Pages>
  <Words>2204</Words>
  <Characters>12568</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14743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John Herald R. Gantuangco</cp:lastModifiedBy>
  <cp:revision>8</cp:revision>
  <dcterms:created xsi:type="dcterms:W3CDTF">2019-01-08T18:42:00Z</dcterms:created>
  <dcterms:modified xsi:type="dcterms:W3CDTF">2026-02-25T12:45:00Z</dcterms:modified>
</cp:coreProperties>
</file>