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spacing w:after="120"/>
      </w:pPr>
      <w:r>
        <w:t xml:space="preserve"/>
      </w:r>
    </w:p>
    <w:p>
      <w:pPr>
        <w:spacing w:after="80"/>
        <w:jc w:val="center"/>
      </w:pPr>
      <w:r>
        <w:rPr>
          <w:rFonts w:ascii="Arial" w:cs="Arial" w:eastAsia="Arial" w:hAnsi="Arial"/>
          <w:b/>
          <w:bCs/>
          <w:color w:val="1A5276"/>
          <w:sz w:val="56"/>
          <w:szCs w:val="56"/>
        </w:rPr>
        <w:t xml:space="preserve">SAFEPREDICT</w:t>
      </w:r>
    </w:p>
    <w:p>
      <w:pPr>
        <w:spacing w:after="400"/>
        <w:jc w:val="center"/>
      </w:pPr>
      <w:r>
        <w:rPr>
          <w:rFonts w:ascii="Arial" w:cs="Arial" w:eastAsia="Arial" w:hAnsi="Arial"/>
          <w:color w:val="2E86C1"/>
          <w:sz w:val="26"/>
          <w:szCs w:val="26"/>
        </w:rPr>
        <w:t xml:space="preserve">Construction Safety Intelligence Platform</w:t>
      </w:r>
    </w:p>
    <w:p>
      <w:pPr>
        <w:pBdr>
          <w:bottom w:val="single" w:color="2E86C1" w:sz="6" w:space="1"/>
        </w:pBdr>
        <w:spacing w:after="120"/>
      </w:pPr>
    </w:p>
    <w:p>
      <w:pPr>
        <w:spacing w:after="120"/>
      </w:pPr>
      <w:r>
        <w:t xml:space="preserve"/>
      </w:r>
    </w:p>
    <w:p>
      <w:pPr>
        <w:spacing w:after="120"/>
        <w:jc w:val="center"/>
      </w:pPr>
      <w:r>
        <w:rPr>
          <w:rFonts w:ascii="Arial" w:cs="Arial" w:eastAsia="Arial" w:hAnsi="Arial"/>
          <w:b/>
          <w:bCs/>
          <w:color w:val="1C2833"/>
          <w:sz w:val="44"/>
          <w:szCs w:val="44"/>
        </w:rPr>
        <w:t xml:space="preserve">Pilot Program Summary Report</w:t>
      </w:r>
    </w:p>
    <w:p>
      <w:pPr>
        <w:spacing w:after="120"/>
        <w:jc w:val="center"/>
      </w:pPr>
      <w:r>
        <w:rPr>
          <w:rFonts w:ascii="Arial" w:cs="Arial" w:eastAsia="Arial" w:hAnsi="Arial"/>
          <w:b/>
          <w:bCs/>
          <w:color w:val="1A5276"/>
          <w:sz w:val="28"/>
          <w:szCs w:val="28"/>
        </w:rPr>
        <w:t xml:space="preserve">5-Company Cohort — January through June 2026</w:t>
      </w:r>
    </w:p>
    <w:p>
      <w:pPr>
        <w:spacing w:after="60"/>
        <w:jc w:val="center"/>
      </w:pPr>
      <w:r>
        <w:rPr>
          <w:rFonts w:ascii="Arial" w:cs="Arial" w:eastAsia="Arial" w:hAnsi="Arial"/>
          <w:color w:val="5D6D7E"/>
          <w:sz w:val="24"/>
          <w:szCs w:val="24"/>
        </w:rPr>
        <w:t xml:space="preserve">719 Workers Protected Across 5 Sectors and 4 States</w:t>
      </w:r>
    </w:p>
    <w:p>
      <w:pPr>
        <w:spacing w:after="120"/>
      </w:pPr>
      <w:r>
        <w:t xml:space="preserve"/>
      </w:r>
    </w:p>
    <w:p>
      <w:pPr>
        <w:spacing w:after="120"/>
      </w:pPr>
      <w:r>
        <w:t xml:space="preserve"/>
      </w:r>
    </w:p>
    <w:p>
      <w:pPr>
        <w:pBdr>
          <w:bottom w:val="single" w:color="2E86C1" w:sz="6" w:space="1"/>
        </w:pBdr>
        <w:spacing w:after="120"/>
      </w:pPr>
    </w:p>
    <w:p>
      <w:r>
        <w:br w:type="page"/>
      </w:r>
    </w:p>
    <w:p>
      <w:pPr>
        <w:pStyle w:val="Heading1"/>
        <w:spacing w:after="160" w:before="300"/>
      </w:pPr>
      <w:r>
        <w:rPr>
          <w:rFonts w:ascii="Arial" w:cs="Arial" w:eastAsia="Arial" w:hAnsi="Arial"/>
          <w:b/>
          <w:bCs/>
          <w:color w:val="1A5276"/>
          <w:sz w:val="32"/>
          <w:szCs w:val="32"/>
        </w:rPr>
        <w:t xml:space="preserve">Executive Summary</w:t>
      </w:r>
    </w:p>
    <w:p>
      <w:pPr>
        <w:pBdr>
          <w:bottom w:val="single" w:color="2E86C1" w:sz="6" w:space="1"/>
        </w:pBdr>
        <w:spacing w:after="120"/>
      </w:pPr>
    </w:p>
    <w:p>
      <w:pPr>
        <w:spacing w:after="120"/>
        <w:jc w:val="left"/>
      </w:pPr>
      <w:r>
        <w:rPr>
          <w:rFonts w:ascii="Arial" w:cs="Arial" w:eastAsia="Arial" w:hAnsi="Arial"/>
          <w:b w:val="false"/>
          <w:bCs w:val="false"/>
          <w:color w:val="1C2833"/>
          <w:sz w:val="22"/>
          <w:szCs w:val="22"/>
        </w:rPr>
        <w:t xml:space="preserve">SafePredict conducted a structured six-month pilot program with five construction companies across the United States, representing a cross-section of sector types, workforce sizes, and geographic markets: a small residential homebuilder (18 workers), a mid-size commercial GC (72 workers), a heavy industrial contractor (215 workers), a specialty electrical subcontractor (34 workers), and a large multi-site GC (380 workers) — 719 workers in total.</w:t>
      </w:r>
    </w:p>
    <w:p>
      <w:pPr>
        <w:spacing w:after="120"/>
        <w:jc w:val="left"/>
      </w:pPr>
      <w:r>
        <w:rPr>
          <w:rFonts w:ascii="Arial" w:cs="Arial" w:eastAsia="Arial" w:hAnsi="Arial"/>
          <w:b w:val="false"/>
          <w:bCs w:val="false"/>
          <w:color w:val="1C2833"/>
          <w:sz w:val="22"/>
          <w:szCs w:val="22"/>
        </w:rPr>
        <w:t xml:space="preserve">Across all five companies, the pilot produced consistent and significant safety improvements. Average TRIR reduction was 47%, with every participant ending the pilot below their industry sector average — some for the first time in their company's history. Combined estimated ROI exceeded $3.4 million against a total platform cost of $33,090 — a blended return exceeding 10,000%.</w:t>
      </w:r>
    </w:p>
    <w:p>
      <w:pPr>
        <w:spacing w:after="120"/>
        <w:jc w:val="left"/>
      </w:pPr>
      <w:r>
        <w:rPr>
          <w:rFonts w:ascii="Arial" w:cs="Arial" w:eastAsia="Arial" w:hAnsi="Arial"/>
          <w:b w:val="false"/>
          <w:bCs w:val="false"/>
          <w:color w:val="1C2833"/>
          <w:sz w:val="22"/>
          <w:szCs w:val="22"/>
        </w:rPr>
        <w:t xml:space="preserve">Three events during the pilot period underscored the life-safety value of Gus AI's predictive capabilities: a confined space atmospheric hazard averted at IronBridge Industrial (likely fatality prevented), an energized panel mislabeling caught at PowerLine Electrical (277V contact averted), and an elevation hazard flagged at Crestwood Homes. In each case, Gus surfaced a risk that existing protocols had missed.</w:t>
      </w:r>
    </w:p>
    <w:p>
      <w:pPr>
        <w:spacing w:after="120"/>
      </w:pPr>
      <w:r>
        <w:t xml:space="preserve"/>
      </w:r>
    </w:p>
    <w:p>
      <w:pPr>
        <w:pStyle w:val="Heading1"/>
        <w:spacing w:after="160" w:before="300"/>
      </w:pPr>
      <w:r>
        <w:rPr>
          <w:rFonts w:ascii="Arial" w:cs="Arial" w:eastAsia="Arial" w:hAnsi="Arial"/>
          <w:b/>
          <w:bCs/>
          <w:color w:val="1A5276"/>
          <w:sz w:val="32"/>
          <w:szCs w:val="32"/>
        </w:rPr>
        <w:t xml:space="preserve">Aggregate Performance — All 5 Companies</w:t>
      </w:r>
    </w:p>
    <w:p>
      <w:pPr>
        <w:pBdr>
          <w:bottom w:val="single" w:color="2E86C1" w:sz="6" w:space="1"/>
        </w:pBd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200"/>
        <w:gridCol w:w="1200"/>
        <w:gridCol w:w="1300"/>
        <w:gridCol w:w="1300"/>
        <w:gridCol w:w="2200"/>
      </w:tblGrid>
      <w:tr>
        <w:tc>
          <w:tcPr>
            <w:tcW w:type="dxa" w:w="2160"/>
            <w:gridSpan w:val="1"/>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left"/>
            </w:pPr>
            <w:r>
              <w:rPr>
                <w:rFonts w:ascii="Arial" w:cs="Arial" w:eastAsia="Arial" w:hAnsi="Arial"/>
                <w:b/>
                <w:bCs/>
                <w:color w:val="FFFFFF"/>
                <w:sz w:val="18"/>
                <w:szCs w:val="18"/>
              </w:rPr>
              <w:t xml:space="preserve">Company</w:t>
            </w:r>
          </w:p>
        </w:tc>
        <w:tc>
          <w:tcPr>
            <w:tcW w:type="dxa" w:w="1200"/>
            <w:gridSpan w:val="1"/>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left"/>
            </w:pPr>
            <w:r>
              <w:rPr>
                <w:rFonts w:ascii="Arial" w:cs="Arial" w:eastAsia="Arial" w:hAnsi="Arial"/>
                <w:b/>
                <w:bCs/>
                <w:color w:val="FFFFFF"/>
                <w:sz w:val="16"/>
                <w:szCs w:val="16"/>
              </w:rPr>
              <w:t xml:space="preserve">Sector</w:t>
            </w:r>
          </w:p>
        </w:tc>
        <w:tc>
          <w:tcPr>
            <w:tcW w:type="dxa" w:w="1200"/>
            <w:gridSpan w:val="1"/>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center"/>
            </w:pPr>
            <w:r>
              <w:rPr>
                <w:rFonts w:ascii="Arial" w:cs="Arial" w:eastAsia="Arial" w:hAnsi="Arial"/>
                <w:b/>
                <w:bCs/>
                <w:color w:val="FFFFFF"/>
                <w:sz w:val="16"/>
                <w:szCs w:val="16"/>
              </w:rPr>
              <w:t xml:space="preserve">Workers</w:t>
            </w:r>
          </w:p>
        </w:tc>
        <w:tc>
          <w:tcPr>
            <w:tcW w:type="dxa" w:w="1300"/>
            <w:gridSpan w:val="1"/>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center"/>
            </w:pPr>
            <w:r>
              <w:rPr>
                <w:rFonts w:ascii="Arial" w:cs="Arial" w:eastAsia="Arial" w:hAnsi="Arial"/>
                <w:b/>
                <w:bCs/>
                <w:color w:val="FFFFFF"/>
                <w:sz w:val="16"/>
                <w:szCs w:val="16"/>
              </w:rPr>
              <w:t xml:space="preserve">TRIR Before→After</w:t>
            </w:r>
          </w:p>
        </w:tc>
        <w:tc>
          <w:tcPr>
            <w:tcW w:type="dxa" w:w="1300"/>
            <w:gridSpan w:val="1"/>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center"/>
            </w:pPr>
            <w:r>
              <w:rPr>
                <w:rFonts w:ascii="Arial" w:cs="Arial" w:eastAsia="Arial" w:hAnsi="Arial"/>
                <w:b/>
                <w:bCs/>
                <w:color w:val="FFFFFF"/>
                <w:sz w:val="16"/>
                <w:szCs w:val="16"/>
              </w:rPr>
              <w:t xml:space="preserve">JSA Before→After</w:t>
            </w:r>
          </w:p>
        </w:tc>
        <w:tc>
          <w:tcPr>
            <w:tcW w:type="dxa" w:w="2200"/>
            <w:gridSpan w:val="1"/>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right"/>
            </w:pPr>
            <w:r>
              <w:rPr>
                <w:rFonts w:ascii="Arial" w:cs="Arial" w:eastAsia="Arial" w:hAnsi="Arial"/>
                <w:b/>
                <w:bCs/>
                <w:color w:val="FFFFFF"/>
                <w:sz w:val="16"/>
                <w:szCs w:val="16"/>
              </w:rPr>
              <w:t xml:space="preserve">Est. ROI</w:t>
            </w:r>
          </w:p>
        </w:tc>
      </w:tr>
      <w:tr>
        <w:tc>
          <w:tcPr>
            <w:tcW w:type="dxa" w:w="216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bCs/>
                <w:color w:val="1C2833"/>
                <w:sz w:val="18"/>
                <w:szCs w:val="18"/>
              </w:rPr>
              <w:t xml:space="preserve">Crestwood Homes</w:t>
            </w:r>
          </w:p>
        </w:tc>
        <w:tc>
          <w:tcPr>
            <w:tcW w:type="dxa" w:w="12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val="false"/>
                <w:bCs w:val="false"/>
                <w:color w:val="1C2833"/>
                <w:sz w:val="18"/>
                <w:szCs w:val="18"/>
              </w:rPr>
              <w:t xml:space="preserve">Residential</w:t>
            </w:r>
          </w:p>
        </w:tc>
        <w:tc>
          <w:tcPr>
            <w:tcW w:type="dxa" w:w="12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center"/>
            </w:pPr>
            <w:r>
              <w:rPr>
                <w:rFonts w:ascii="Arial" w:cs="Arial" w:eastAsia="Arial" w:hAnsi="Arial"/>
                <w:b w:val="false"/>
                <w:bCs w:val="false"/>
                <w:color w:val="1C2833"/>
                <w:sz w:val="18"/>
                <w:szCs w:val="18"/>
              </w:rPr>
              <w:t xml:space="preserve">18</w:t>
            </w:r>
          </w:p>
        </w:tc>
        <w:tc>
          <w:tcPr>
            <w:tcW w:type="dxa" w:w="13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center"/>
            </w:pPr>
            <w:r>
              <w:rPr>
                <w:rFonts w:ascii="Arial" w:cs="Arial" w:eastAsia="Arial" w:hAnsi="Arial"/>
                <w:b/>
                <w:bCs/>
                <w:color w:val="1E8449"/>
                <w:sz w:val="18"/>
                <w:szCs w:val="18"/>
              </w:rPr>
              <w:t xml:space="preserve">4.1 → 1.8 (▼56%)</w:t>
            </w:r>
          </w:p>
        </w:tc>
        <w:tc>
          <w:tcPr>
            <w:tcW w:type="dxa" w:w="13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center"/>
            </w:pPr>
            <w:r>
              <w:rPr>
                <w:rFonts w:ascii="Arial" w:cs="Arial" w:eastAsia="Arial" w:hAnsi="Arial"/>
                <w:b/>
                <w:bCs/>
                <w:color w:val="2E86C1"/>
                <w:sz w:val="18"/>
                <w:szCs w:val="18"/>
              </w:rPr>
              <w:t xml:space="preserve">34% → 91%</w:t>
            </w:r>
          </w:p>
        </w:tc>
        <w:tc>
          <w:tcPr>
            <w:tcW w:type="dxa" w:w="22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right"/>
            </w:pPr>
            <w:r>
              <w:rPr>
                <w:rFonts w:ascii="Arial" w:cs="Arial" w:eastAsia="Arial" w:hAnsi="Arial"/>
                <w:b/>
                <w:bCs/>
                <w:color w:val="1E8449"/>
                <w:sz w:val="18"/>
                <w:szCs w:val="18"/>
              </w:rPr>
              <w:t xml:space="preserve">$187,400</w:t>
            </w:r>
          </w:p>
        </w:tc>
      </w:tr>
      <w:tr>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C2833"/>
                <w:sz w:val="18"/>
                <w:szCs w:val="18"/>
              </w:rPr>
              <w:t xml:space="preserve">Summit Commercial</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C2833"/>
                <w:sz w:val="18"/>
                <w:szCs w:val="18"/>
              </w:rPr>
              <w:t xml:space="preserve">Commercial GC</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C2833"/>
                <w:sz w:val="18"/>
                <w:szCs w:val="18"/>
              </w:rPr>
              <w:t xml:space="preserve">72</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bCs/>
                <w:color w:val="1E8449"/>
                <w:sz w:val="18"/>
                <w:szCs w:val="18"/>
              </w:rPr>
              <w:t xml:space="preserve">3.4 → 1.9 (▼44%)</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bCs/>
                <w:color w:val="2E86C1"/>
                <w:sz w:val="18"/>
                <w:szCs w:val="18"/>
              </w:rPr>
              <w:t xml:space="preserve">52% → 94%</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right"/>
            </w:pPr>
            <w:r>
              <w:rPr>
                <w:rFonts w:ascii="Arial" w:cs="Arial" w:eastAsia="Arial" w:hAnsi="Arial"/>
                <w:b/>
                <w:bCs/>
                <w:color w:val="1E8449"/>
                <w:sz w:val="18"/>
                <w:szCs w:val="18"/>
              </w:rPr>
              <w:t xml:space="preserve">$370,000+</w:t>
            </w:r>
          </w:p>
        </w:tc>
      </w:tr>
      <w:tr>
        <w:tc>
          <w:tcPr>
            <w:tcW w:type="dxa" w:w="216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bCs/>
                <w:color w:val="1C2833"/>
                <w:sz w:val="18"/>
                <w:szCs w:val="18"/>
              </w:rPr>
              <w:t xml:space="preserve">IronBridge Industrial</w:t>
            </w:r>
          </w:p>
        </w:tc>
        <w:tc>
          <w:tcPr>
            <w:tcW w:type="dxa" w:w="12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val="false"/>
                <w:bCs w:val="false"/>
                <w:color w:val="1C2833"/>
                <w:sz w:val="18"/>
                <w:szCs w:val="18"/>
              </w:rPr>
              <w:t xml:space="preserve">Heavy Industrial</w:t>
            </w:r>
          </w:p>
        </w:tc>
        <w:tc>
          <w:tcPr>
            <w:tcW w:type="dxa" w:w="12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center"/>
            </w:pPr>
            <w:r>
              <w:rPr>
                <w:rFonts w:ascii="Arial" w:cs="Arial" w:eastAsia="Arial" w:hAnsi="Arial"/>
                <w:b w:val="false"/>
                <w:bCs w:val="false"/>
                <w:color w:val="1C2833"/>
                <w:sz w:val="18"/>
                <w:szCs w:val="18"/>
              </w:rPr>
              <w:t xml:space="preserve">215</w:t>
            </w:r>
          </w:p>
        </w:tc>
        <w:tc>
          <w:tcPr>
            <w:tcW w:type="dxa" w:w="13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center"/>
            </w:pPr>
            <w:r>
              <w:rPr>
                <w:rFonts w:ascii="Arial" w:cs="Arial" w:eastAsia="Arial" w:hAnsi="Arial"/>
                <w:b/>
                <w:bCs/>
                <w:color w:val="1E8449"/>
                <w:sz w:val="18"/>
                <w:szCs w:val="18"/>
              </w:rPr>
              <w:t xml:space="preserve">2.6 → 1.4 (▼46%)</w:t>
            </w:r>
          </w:p>
        </w:tc>
        <w:tc>
          <w:tcPr>
            <w:tcW w:type="dxa" w:w="13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center"/>
            </w:pPr>
            <w:r>
              <w:rPr>
                <w:rFonts w:ascii="Arial" w:cs="Arial" w:eastAsia="Arial" w:hAnsi="Arial"/>
                <w:b/>
                <w:bCs/>
                <w:color w:val="2E86C1"/>
                <w:sz w:val="18"/>
                <w:szCs w:val="18"/>
              </w:rPr>
              <w:t xml:space="preserve">63% → 89%</w:t>
            </w:r>
          </w:p>
        </w:tc>
        <w:tc>
          <w:tcPr>
            <w:tcW w:type="dxa" w:w="22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right"/>
            </w:pPr>
            <w:r>
              <w:rPr>
                <w:rFonts w:ascii="Arial" w:cs="Arial" w:eastAsia="Arial" w:hAnsi="Arial"/>
                <w:b/>
                <w:bCs/>
                <w:color w:val="1E8449"/>
                <w:sz w:val="18"/>
                <w:szCs w:val="18"/>
              </w:rPr>
              <w:t xml:space="preserve">$1,021,560+</w:t>
            </w:r>
          </w:p>
        </w:tc>
      </w:tr>
      <w:tr>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C2833"/>
                <w:sz w:val="18"/>
                <w:szCs w:val="18"/>
              </w:rPr>
              <w:t xml:space="preserve">PowerLine Electrical</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C2833"/>
                <w:sz w:val="18"/>
                <w:szCs w:val="18"/>
              </w:rPr>
              <w:t xml:space="preserve">Specialty Sub</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C2833"/>
                <w:sz w:val="18"/>
                <w:szCs w:val="18"/>
              </w:rPr>
              <w:t xml:space="preserve">34</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bCs/>
                <w:color w:val="1E8449"/>
                <w:sz w:val="18"/>
                <w:szCs w:val="18"/>
              </w:rPr>
              <w:t xml:space="preserve">3.8 → 1.9 (▼50%)</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bCs/>
                <w:color w:val="2E86C1"/>
                <w:sz w:val="18"/>
                <w:szCs w:val="18"/>
              </w:rPr>
              <w:t xml:space="preserve">28% → 89%</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right"/>
            </w:pPr>
            <w:r>
              <w:rPr>
                <w:rFonts w:ascii="Arial" w:cs="Arial" w:eastAsia="Arial" w:hAnsi="Arial"/>
                <w:b/>
                <w:bCs/>
                <w:color w:val="1E8449"/>
                <w:sz w:val="18"/>
                <w:szCs w:val="18"/>
              </w:rPr>
              <w:t xml:space="preserve">$856,000+</w:t>
            </w:r>
          </w:p>
        </w:tc>
      </w:tr>
      <w:tr>
        <w:tc>
          <w:tcPr>
            <w:tcW w:type="dxa" w:w="216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bCs/>
                <w:color w:val="1C2833"/>
                <w:sz w:val="18"/>
                <w:szCs w:val="18"/>
              </w:rPr>
              <w:t xml:space="preserve">Vertex Group</w:t>
            </w:r>
          </w:p>
        </w:tc>
        <w:tc>
          <w:tcPr>
            <w:tcW w:type="dxa" w:w="12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val="false"/>
                <w:bCs w:val="false"/>
                <w:color w:val="1C2833"/>
                <w:sz w:val="18"/>
                <w:szCs w:val="18"/>
              </w:rPr>
              <w:t xml:space="preserve">Multi-Site GC</w:t>
            </w:r>
          </w:p>
        </w:tc>
        <w:tc>
          <w:tcPr>
            <w:tcW w:type="dxa" w:w="12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center"/>
            </w:pPr>
            <w:r>
              <w:rPr>
                <w:rFonts w:ascii="Arial" w:cs="Arial" w:eastAsia="Arial" w:hAnsi="Arial"/>
                <w:b w:val="false"/>
                <w:bCs w:val="false"/>
                <w:color w:val="1C2833"/>
                <w:sz w:val="18"/>
                <w:szCs w:val="18"/>
              </w:rPr>
              <w:t xml:space="preserve">380</w:t>
            </w:r>
          </w:p>
        </w:tc>
        <w:tc>
          <w:tcPr>
            <w:tcW w:type="dxa" w:w="13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center"/>
            </w:pPr>
            <w:r>
              <w:rPr>
                <w:rFonts w:ascii="Arial" w:cs="Arial" w:eastAsia="Arial" w:hAnsi="Arial"/>
                <w:b/>
                <w:bCs/>
                <w:color w:val="1E8449"/>
                <w:sz w:val="18"/>
                <w:szCs w:val="18"/>
              </w:rPr>
              <w:t xml:space="preserve">3.1 → 1.8 (▼42%)</w:t>
            </w:r>
          </w:p>
        </w:tc>
        <w:tc>
          <w:tcPr>
            <w:tcW w:type="dxa" w:w="13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center"/>
            </w:pPr>
            <w:r>
              <w:rPr>
                <w:rFonts w:ascii="Arial" w:cs="Arial" w:eastAsia="Arial" w:hAnsi="Arial"/>
                <w:b/>
                <w:bCs/>
                <w:color w:val="2E86C1"/>
                <w:sz w:val="18"/>
                <w:szCs w:val="18"/>
              </w:rPr>
              <w:t xml:space="preserve">58% → 82%</w:t>
            </w:r>
          </w:p>
        </w:tc>
        <w:tc>
          <w:tcPr>
            <w:tcW w:type="dxa" w:w="22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right"/>
            </w:pPr>
            <w:r>
              <w:rPr>
                <w:rFonts w:ascii="Arial" w:cs="Arial" w:eastAsia="Arial" w:hAnsi="Arial"/>
                <w:b/>
                <w:bCs/>
                <w:color w:val="1E8449"/>
                <w:sz w:val="18"/>
                <w:szCs w:val="18"/>
              </w:rPr>
              <w:t xml:space="preserve">$981,664+</w:t>
            </w:r>
          </w:p>
        </w:tc>
      </w:tr>
      <w:tr>
        <w:tc>
          <w:tcPr>
            <w:tcW w:type="dxa" w:w="2160"/>
            <w:gridSpan w:val="1"/>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left"/>
            </w:pPr>
            <w:r>
              <w:rPr>
                <w:rFonts w:ascii="Arial" w:cs="Arial" w:eastAsia="Arial" w:hAnsi="Arial"/>
                <w:b/>
                <w:bCs/>
                <w:color w:val="FFFFFF"/>
                <w:sz w:val="18"/>
                <w:szCs w:val="18"/>
              </w:rPr>
              <w:t xml:space="preserve">TOTALS / AVERAGES</w:t>
            </w:r>
          </w:p>
        </w:tc>
        <w:tc>
          <w:tcPr>
            <w:tcW w:type="dxa" w:w="1200"/>
            <w:gridSpan w:val="1"/>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center"/>
            </w:pPr>
            <w:r>
              <w:rPr>
                <w:rFonts w:ascii="Arial" w:cs="Arial" w:eastAsia="Arial" w:hAnsi="Arial"/>
                <w:b w:val="false"/>
                <w:bCs w:val="false"/>
                <w:color w:val="FFFFFF"/>
                <w:sz w:val="18"/>
                <w:szCs w:val="18"/>
              </w:rPr>
              <w:t xml:space="preserve">—</w:t>
            </w:r>
          </w:p>
        </w:tc>
        <w:tc>
          <w:tcPr>
            <w:tcW w:type="dxa" w:w="1200"/>
            <w:gridSpan w:val="1"/>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center"/>
            </w:pPr>
            <w:r>
              <w:rPr>
                <w:rFonts w:ascii="Arial" w:cs="Arial" w:eastAsia="Arial" w:hAnsi="Arial"/>
                <w:b/>
                <w:bCs/>
                <w:color w:val="FFFFFF"/>
                <w:sz w:val="18"/>
                <w:szCs w:val="18"/>
              </w:rPr>
              <w:t xml:space="preserve">719</w:t>
            </w:r>
          </w:p>
        </w:tc>
        <w:tc>
          <w:tcPr>
            <w:tcW w:type="dxa" w:w="1300"/>
            <w:gridSpan w:val="1"/>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center"/>
            </w:pPr>
            <w:r>
              <w:rPr>
                <w:rFonts w:ascii="Arial" w:cs="Arial" w:eastAsia="Arial" w:hAnsi="Arial"/>
                <w:b/>
                <w:bCs/>
                <w:color w:val="FFFFFF"/>
                <w:sz w:val="18"/>
                <w:szCs w:val="18"/>
              </w:rPr>
              <w:t xml:space="preserve">3.4 → 1.8 (▼47% avg)</w:t>
            </w:r>
          </w:p>
        </w:tc>
        <w:tc>
          <w:tcPr>
            <w:tcW w:type="dxa" w:w="1300"/>
            <w:gridSpan w:val="1"/>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center"/>
            </w:pPr>
            <w:r>
              <w:rPr>
                <w:rFonts w:ascii="Arial" w:cs="Arial" w:eastAsia="Arial" w:hAnsi="Arial"/>
                <w:b/>
                <w:bCs/>
                <w:color w:val="FFFFFF"/>
                <w:sz w:val="18"/>
                <w:szCs w:val="18"/>
              </w:rPr>
              <w:t xml:space="preserve">47% → 89% (▲42pts avg)</w:t>
            </w:r>
          </w:p>
        </w:tc>
        <w:tc>
          <w:tcPr>
            <w:tcW w:type="dxa" w:w="2200"/>
            <w:gridSpan w:val="1"/>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right"/>
            </w:pPr>
            <w:r>
              <w:rPr>
                <w:rFonts w:ascii="Arial" w:cs="Arial" w:eastAsia="Arial" w:hAnsi="Arial"/>
                <w:b/>
                <w:bCs/>
                <w:color w:val="FFFFFF"/>
                <w:sz w:val="18"/>
                <w:szCs w:val="18"/>
              </w:rPr>
              <w:t xml:space="preserve">$3.4M+</w:t>
            </w:r>
          </w:p>
        </w:tc>
      </w:tr>
    </w:tbl>
    <w:p>
      <w:pPr>
        <w:spacing w:after="120"/>
      </w:pPr>
      <w:r>
        <w:t xml:space="preserve"/>
      </w:r>
    </w:p>
    <w:p>
      <w:pPr>
        <w:spacing w:after="120"/>
        <w:jc w:val="left"/>
      </w:pPr>
      <w:r>
        <w:rPr>
          <w:rFonts w:ascii="Arial" w:cs="Arial" w:eastAsia="Arial" w:hAnsi="Arial"/>
          <w:b w:val="false"/>
          <w:bCs w:val="false"/>
          <w:color w:val="5D6D7E"/>
          <w:sz w:val="18"/>
          <w:szCs w:val="18"/>
        </w:rPr>
        <w:t xml:space="preserve">*TRIR = Total Recordable Incident Rate, annualized per 200,000 hours worked. Industry averages: Residential 3.2 | Commercial GC 2.8 | Heavy Industrial 1.9 | Specialty Electrical 2.1 | Large GC 2.8 (BLS 2024).</w:t>
      </w:r>
    </w:p>
    <w:p>
      <w:pPr>
        <w:spacing w:after="120"/>
      </w:pPr>
      <w:r>
        <w:t xml:space="preserve"/>
      </w:r>
    </w:p>
    <w:p>
      <w:pPr>
        <w:pStyle w:val="Heading1"/>
        <w:spacing w:after="160" w:before="300"/>
      </w:pPr>
      <w:r>
        <w:rPr>
          <w:rFonts w:ascii="Arial" w:cs="Arial" w:eastAsia="Arial" w:hAnsi="Arial"/>
          <w:b/>
          <w:bCs/>
          <w:color w:val="1A5276"/>
          <w:sz w:val="32"/>
          <w:szCs w:val="32"/>
        </w:rPr>
        <w:t xml:space="preserve">Gus AI — Predictive Safety Engine</w:t>
      </w:r>
    </w:p>
    <w:p>
      <w:pPr>
        <w:pBdr>
          <w:bottom w:val="single" w:color="2E86C1" w:sz="6" w:space="1"/>
        </w:pBdr>
        <w:spacing w:after="120"/>
      </w:pPr>
    </w:p>
    <w:p>
      <w:pPr>
        <w:spacing w:after="120"/>
        <w:jc w:val="left"/>
      </w:pPr>
      <w:r>
        <w:rPr>
          <w:rFonts w:ascii="Arial" w:cs="Arial" w:eastAsia="Arial" w:hAnsi="Arial"/>
          <w:b w:val="false"/>
          <w:bCs w:val="false"/>
          <w:color w:val="1C2833"/>
          <w:sz w:val="22"/>
          <w:szCs w:val="22"/>
        </w:rPr>
        <w:t xml:space="preserve">The Gus AI risk engine drove measurable safety outcomes at all five pilot sites. The following table documents starting and ending risk scores, plus the most significant Gus AI intervention during the pilot at each company.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404"/>
        <w:gridCol w:w="1404"/>
        <w:gridCol w:w="4212"/>
      </w:tblGrid>
      <w:tr>
        <w:tc>
          <w:tcPr>
            <w:tcW w:type="dxa" w:w="2340"/>
            <w:gridSpan w:val="1"/>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left"/>
            </w:pPr>
            <w:r>
              <w:rPr>
                <w:rFonts w:ascii="Arial" w:cs="Arial" w:eastAsia="Arial" w:hAnsi="Arial"/>
                <w:b/>
                <w:bCs/>
                <w:color w:val="FFFFFF"/>
                <w:sz w:val="18"/>
                <w:szCs w:val="18"/>
              </w:rPr>
              <w:t xml:space="preserve">Company</w:t>
            </w:r>
          </w:p>
        </w:tc>
        <w:tc>
          <w:tcPr>
            <w:tcW w:type="dxa" w:w="1404"/>
            <w:gridSpan w:val="1"/>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center"/>
            </w:pPr>
            <w:r>
              <w:rPr>
                <w:rFonts w:ascii="Arial" w:cs="Arial" w:eastAsia="Arial" w:hAnsi="Arial"/>
                <w:b/>
                <w:bCs/>
                <w:color w:val="FFFFFF"/>
                <w:sz w:val="18"/>
                <w:szCs w:val="18"/>
              </w:rPr>
              <w:t xml:space="preserve">Start Score</w:t>
            </w:r>
          </w:p>
        </w:tc>
        <w:tc>
          <w:tcPr>
            <w:tcW w:type="dxa" w:w="1404"/>
            <w:gridSpan w:val="1"/>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center"/>
            </w:pPr>
            <w:r>
              <w:rPr>
                <w:rFonts w:ascii="Arial" w:cs="Arial" w:eastAsia="Arial" w:hAnsi="Arial"/>
                <w:b/>
                <w:bCs/>
                <w:color w:val="FFFFFF"/>
                <w:sz w:val="18"/>
                <w:szCs w:val="18"/>
              </w:rPr>
              <w:t xml:space="preserve">End Score</w:t>
            </w:r>
          </w:p>
        </w:tc>
        <w:tc>
          <w:tcPr>
            <w:tcW w:type="dxa" w:w="4212"/>
            <w:gridSpan w:val="1"/>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left"/>
            </w:pPr>
            <w:r>
              <w:rPr>
                <w:rFonts w:ascii="Arial" w:cs="Arial" w:eastAsia="Arial" w:hAnsi="Arial"/>
                <w:b/>
                <w:bCs/>
                <w:color w:val="FFFFFF"/>
                <w:sz w:val="18"/>
                <w:szCs w:val="18"/>
              </w:rPr>
              <w:t xml:space="preserve">Key Gus AI Event</w:t>
            </w:r>
          </w:p>
        </w:tc>
      </w:tr>
      <w:tr>
        <w:tc>
          <w:tcPr>
            <w:tcW w:type="dxa" w:w="234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bCs/>
                <w:color w:val="1C2833"/>
                <w:sz w:val="22"/>
                <w:szCs w:val="22"/>
              </w:rPr>
              <w:t xml:space="preserve">Crestwood Homes</w:t>
            </w:r>
          </w:p>
        </w:tc>
        <w:tc>
          <w:tcPr>
            <w:tcW w:type="dxa" w:w="1404"/>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center"/>
            </w:pPr>
            <w:r>
              <w:rPr>
                <w:rFonts w:ascii="Arial" w:cs="Arial" w:eastAsia="Arial" w:hAnsi="Arial"/>
                <w:b/>
                <w:bCs/>
                <w:color w:val="C0392B"/>
                <w:sz w:val="22"/>
                <w:szCs w:val="22"/>
              </w:rPr>
              <w:t xml:space="preserve">78</w:t>
            </w:r>
          </w:p>
        </w:tc>
        <w:tc>
          <w:tcPr>
            <w:tcW w:type="dxa" w:w="1404"/>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center"/>
            </w:pPr>
            <w:r>
              <w:rPr>
                <w:rFonts w:ascii="Arial" w:cs="Arial" w:eastAsia="Arial" w:hAnsi="Arial"/>
                <w:b/>
                <w:bCs/>
                <w:color w:val="1E8449"/>
                <w:sz w:val="22"/>
                <w:szCs w:val="22"/>
              </w:rPr>
              <w:t xml:space="preserve">31</w:t>
            </w:r>
          </w:p>
        </w:tc>
        <w:tc>
          <w:tcPr>
            <w:tcW w:type="dxa" w:w="4212"/>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val="false"/>
                <w:bCs w:val="false"/>
                <w:color w:val="5D6D7E"/>
                <w:sz w:val="20"/>
                <w:szCs w:val="20"/>
              </w:rPr>
              <w:t xml:space="preserve">Elevation risk flag on Lot 7 — supervisor intervenes before ladder setup</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C2833"/>
                <w:sz w:val="22"/>
                <w:szCs w:val="22"/>
              </w:rPr>
              <w:t xml:space="preserve">Summit Commercial</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bCs/>
                <w:color w:val="C0392B"/>
                <w:sz w:val="22"/>
                <w:szCs w:val="22"/>
              </w:rPr>
              <w:t xml:space="preserve">71</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bCs/>
                <w:color w:val="1E8449"/>
                <w:sz w:val="22"/>
                <w:szCs w:val="22"/>
              </w:rPr>
              <w:t xml:space="preserve">29</w:t>
            </w:r>
          </w:p>
        </w:tc>
        <w:tc>
          <w:tcPr>
            <w:tcW w:type="dxa" w:w="4212"/>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5D6D7E"/>
                <w:sz w:val="20"/>
                <w:szCs w:val="20"/>
              </w:rPr>
              <w:t xml:space="preserve">High-risk concrete pour phase flagged — additional spotter deployed</w:t>
            </w:r>
          </w:p>
        </w:tc>
      </w:tr>
      <w:tr>
        <w:tc>
          <w:tcPr>
            <w:tcW w:type="dxa" w:w="234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bCs/>
                <w:color w:val="1C2833"/>
                <w:sz w:val="22"/>
                <w:szCs w:val="22"/>
              </w:rPr>
              <w:t xml:space="preserve">IronBridge Industrial</w:t>
            </w:r>
          </w:p>
        </w:tc>
        <w:tc>
          <w:tcPr>
            <w:tcW w:type="dxa" w:w="1404"/>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center"/>
            </w:pPr>
            <w:r>
              <w:rPr>
                <w:rFonts w:ascii="Arial" w:cs="Arial" w:eastAsia="Arial" w:hAnsi="Arial"/>
                <w:b/>
                <w:bCs/>
                <w:color w:val="C0392B"/>
                <w:sz w:val="22"/>
                <w:szCs w:val="22"/>
              </w:rPr>
              <w:t xml:space="preserve">67</w:t>
            </w:r>
          </w:p>
        </w:tc>
        <w:tc>
          <w:tcPr>
            <w:tcW w:type="dxa" w:w="1404"/>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center"/>
            </w:pPr>
            <w:r>
              <w:rPr>
                <w:rFonts w:ascii="Arial" w:cs="Arial" w:eastAsia="Arial" w:hAnsi="Arial"/>
                <w:b/>
                <w:bCs/>
                <w:color w:val="1E8449"/>
                <w:sz w:val="22"/>
                <w:szCs w:val="22"/>
              </w:rPr>
              <w:t xml:space="preserve">22</w:t>
            </w:r>
          </w:p>
        </w:tc>
        <w:tc>
          <w:tcPr>
            <w:tcW w:type="dxa" w:w="4212"/>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val="false"/>
                <w:bCs w:val="false"/>
                <w:color w:val="5D6D7E"/>
                <w:sz w:val="20"/>
                <w:szCs w:val="20"/>
              </w:rPr>
              <w:t xml:space="preserve">Confined space atmospheric gap — oxygen-deficient entry averted (likely fatality prevented)</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C2833"/>
                <w:sz w:val="22"/>
                <w:szCs w:val="22"/>
              </w:rPr>
              <w:t xml:space="preserve">PowerLine Electrical</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bCs/>
                <w:color w:val="C0392B"/>
                <w:sz w:val="22"/>
                <w:szCs w:val="22"/>
              </w:rPr>
              <w:t xml:space="preserve">81</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bCs/>
                <w:color w:val="1E8449"/>
                <w:sz w:val="22"/>
                <w:szCs w:val="22"/>
              </w:rPr>
              <w:t xml:space="preserve">28</w:t>
            </w:r>
          </w:p>
        </w:tc>
        <w:tc>
          <w:tcPr>
            <w:tcW w:type="dxa" w:w="4212"/>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5D6D7E"/>
                <w:sz w:val="20"/>
                <w:szCs w:val="20"/>
              </w:rPr>
              <w:t xml:space="preserve">Energized panel mislabeled as de-energized — 277V contact averted</w:t>
            </w:r>
          </w:p>
        </w:tc>
      </w:tr>
      <w:tr>
        <w:tc>
          <w:tcPr>
            <w:tcW w:type="dxa" w:w="234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bCs/>
                <w:color w:val="1C2833"/>
                <w:sz w:val="22"/>
                <w:szCs w:val="22"/>
              </w:rPr>
              <w:t xml:space="preserve">Vertex Group</w:t>
            </w:r>
          </w:p>
        </w:tc>
        <w:tc>
          <w:tcPr>
            <w:tcW w:type="dxa" w:w="1404"/>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center"/>
            </w:pPr>
            <w:r>
              <w:rPr>
                <w:rFonts w:ascii="Arial" w:cs="Arial" w:eastAsia="Arial" w:hAnsi="Arial"/>
                <w:b/>
                <w:bCs/>
                <w:color w:val="C0392B"/>
                <w:sz w:val="22"/>
                <w:szCs w:val="22"/>
              </w:rPr>
              <w:t xml:space="preserve">69</w:t>
            </w:r>
          </w:p>
        </w:tc>
        <w:tc>
          <w:tcPr>
            <w:tcW w:type="dxa" w:w="1404"/>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center"/>
            </w:pPr>
            <w:r>
              <w:rPr>
                <w:rFonts w:ascii="Arial" w:cs="Arial" w:eastAsia="Arial" w:hAnsi="Arial"/>
                <w:b/>
                <w:bCs/>
                <w:color w:val="1E8449"/>
                <w:sz w:val="22"/>
                <w:szCs w:val="22"/>
              </w:rPr>
              <w:t xml:space="preserve">31</w:t>
            </w:r>
          </w:p>
        </w:tc>
        <w:tc>
          <w:tcPr>
            <w:tcW w:type="dxa" w:w="4212"/>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val="false"/>
                <w:bCs w:val="false"/>
                <w:color w:val="5D6D7E"/>
                <w:sz w:val="20"/>
                <w:szCs w:val="20"/>
              </w:rPr>
              <w:t xml:space="preserve">Cross-site concrete flatwork pattern identified at 4 sites — company-wide alert issued</w:t>
            </w:r>
          </w:p>
        </w:tc>
      </w:tr>
    </w:tbl>
    <w:p>
      <w:pPr>
        <w:spacing w:after="120"/>
      </w:pPr>
      <w:r>
        <w:t xml:space="preserve"/>
      </w:r>
    </w:p>
    <w:p>
      <w:pPr>
        <w:spacing w:after="120"/>
        <w:jc w:val="left"/>
      </w:pPr>
      <w:r>
        <w:rPr>
          <w:rFonts w:ascii="Arial" w:cs="Arial" w:eastAsia="Arial" w:hAnsi="Arial"/>
          <w:b w:val="false"/>
          <w:bCs w:val="false"/>
          <w:color w:val="5D6D7E"/>
          <w:sz w:val="18"/>
          <w:szCs w:val="18"/>
        </w:rPr>
        <w:t xml:space="preserve">Gus Score: 0 = no risk, 100 = critical. All five companies ended the pilot in the low-risk range (below 35). Average improvement across the cohort: 62%.</w:t>
      </w:r>
    </w:p>
    <w:p>
      <w:pPr>
        <w:spacing w:after="120"/>
      </w:pPr>
      <w:r>
        <w:t xml:space="preserve"/>
      </w:r>
    </w:p>
    <w:p>
      <w:pPr>
        <w:pStyle w:val="Heading1"/>
        <w:spacing w:after="160" w:before="300"/>
      </w:pPr>
      <w:r>
        <w:rPr>
          <w:rFonts w:ascii="Arial" w:cs="Arial" w:eastAsia="Arial" w:hAnsi="Arial"/>
          <w:b/>
          <w:bCs/>
          <w:color w:val="1A5276"/>
          <w:sz w:val="32"/>
          <w:szCs w:val="32"/>
        </w:rPr>
        <w:t xml:space="preserve">What Drove Results</w:t>
      </w:r>
    </w:p>
    <w:p>
      <w:pPr>
        <w:pBdr>
          <w:bottom w:val="single" w:color="2E86C1" w:sz="6" w:space="1"/>
        </w:pBdr>
        <w:spacing w:after="120"/>
      </w:pPr>
    </w:p>
    <w:p>
      <w:pPr>
        <w:pStyle w:val="Heading2"/>
        <w:spacing w:after="100" w:before="200"/>
      </w:pPr>
      <w:r>
        <w:rPr>
          <w:rFonts w:ascii="Arial" w:cs="Arial" w:eastAsia="Arial" w:hAnsi="Arial"/>
          <w:b/>
          <w:bCs/>
          <w:color w:val="2E86C1"/>
          <w:sz w:val="26"/>
          <w:szCs w:val="26"/>
        </w:rPr>
        <w:t xml:space="preserve">1. Near-Miss Reporting Culture</w:t>
      </w:r>
    </w:p>
    <w:p>
      <w:pPr>
        <w:spacing w:after="120"/>
        <w:jc w:val="left"/>
      </w:pPr>
      <w:r>
        <w:rPr>
          <w:rFonts w:ascii="Arial" w:cs="Arial" w:eastAsia="Arial" w:hAnsi="Arial"/>
          <w:b w:val="false"/>
          <w:bCs w:val="false"/>
          <w:color w:val="1C2833"/>
          <w:sz w:val="22"/>
          <w:szCs w:val="22"/>
        </w:rPr>
        <w:t xml:space="preserve">Across all five companies, near-miss reporting increased by an average of 6× over the pilot period. This is not a sign that more hazards were created — it is evidence that hazards which had always existed were now being captured. Near-miss data is the strongest leading indicator of serious injury risk.</w:t>
      </w:r>
    </w:p>
    <w:p>
      <w:pPr>
        <w:pStyle w:val="Heading2"/>
        <w:spacing w:after="100" w:before="200"/>
      </w:pPr>
      <w:r>
        <w:rPr>
          <w:rFonts w:ascii="Arial" w:cs="Arial" w:eastAsia="Arial" w:hAnsi="Arial"/>
          <w:b/>
          <w:bCs/>
          <w:color w:val="2E86C1"/>
          <w:sz w:val="26"/>
          <w:szCs w:val="26"/>
        </w:rPr>
        <w:t xml:space="preserve">2. JSA Completion as a Forcing Function</w:t>
      </w:r>
    </w:p>
    <w:p>
      <w:pPr>
        <w:spacing w:after="120"/>
        <w:jc w:val="left"/>
      </w:pPr>
      <w:r>
        <w:rPr>
          <w:rFonts w:ascii="Arial" w:cs="Arial" w:eastAsia="Arial" w:hAnsi="Arial"/>
          <w:b w:val="false"/>
          <w:bCs w:val="false"/>
          <w:color w:val="1C2833"/>
          <w:sz w:val="22"/>
          <w:szCs w:val="22"/>
        </w:rPr>
        <w:t xml:space="preserve">Average JSA completion rose from 47% to 89%. SafePredict's JSA workflow feeds the Gus AI risk engine — creating a virtuous cycle where more data enables better risk predictions, which builds worker trust, which drives higher completion rates.</w:t>
      </w:r>
    </w:p>
    <w:p>
      <w:pPr>
        <w:pStyle w:val="Heading2"/>
        <w:spacing w:after="100" w:before="200"/>
      </w:pPr>
      <w:r>
        <w:rPr>
          <w:rFonts w:ascii="Arial" w:cs="Arial" w:eastAsia="Arial" w:hAnsi="Arial"/>
          <w:b/>
          <w:bCs/>
          <w:color w:val="2E86C1"/>
          <w:sz w:val="26"/>
          <w:szCs w:val="26"/>
        </w:rPr>
        <w:t xml:space="preserve">3. Permit Compliance — Closing the High-Risk Gap</w:t>
      </w:r>
    </w:p>
    <w:p>
      <w:pPr>
        <w:spacing w:after="120"/>
        <w:jc w:val="left"/>
      </w:pPr>
      <w:r>
        <w:rPr>
          <w:rFonts w:ascii="Arial" w:cs="Arial" w:eastAsia="Arial" w:hAnsi="Arial"/>
          <w:b w:val="false"/>
          <w:bCs w:val="false"/>
          <w:color w:val="1C2833"/>
          <w:sz w:val="22"/>
          <w:szCs w:val="22"/>
        </w:rPr>
        <w:t xml:space="preserve">The four permit-using companies averaged a 35-point increase in permit compliance — directly reducing the conditions present in the vast majority of serious construction incidents. IronBridge's confined space event in March is the clearest illustration of what happens when this gap is closed in time.</w:t>
      </w:r>
    </w:p>
    <w:p>
      <w:pPr>
        <w:pStyle w:val="Heading2"/>
        <w:spacing w:after="100" w:before="200"/>
      </w:pPr>
      <w:r>
        <w:rPr>
          <w:rFonts w:ascii="Arial" w:cs="Arial" w:eastAsia="Arial" w:hAnsi="Arial"/>
          <w:b/>
          <w:bCs/>
          <w:color w:val="2E86C1"/>
          <w:sz w:val="26"/>
          <w:szCs w:val="26"/>
        </w:rPr>
        <w:t xml:space="preserve">4. Predictive vs. Reactive Safety</w:t>
      </w:r>
    </w:p>
    <w:p>
      <w:pPr>
        <w:spacing w:after="120"/>
        <w:jc w:val="left"/>
      </w:pPr>
      <w:r>
        <w:rPr>
          <w:rFonts w:ascii="Arial" w:cs="Arial" w:eastAsia="Arial" w:hAnsi="Arial"/>
          <w:b w:val="false"/>
          <w:bCs w:val="false"/>
          <w:color w:val="1C2833"/>
          <w:sz w:val="22"/>
          <w:szCs w:val="22"/>
        </w:rPr>
        <w:t xml:space="preserve">Traditional safety programs are inherently reactive. Gus AI shifts the model to predictive — flagging elevated risk before work begins. The three life-safety interventions documented above would not have occurred in a reactive safety program. They occurred because Gus had context (permit status, atmospheric monitoring, electrical drawing data) that no human supervisor can hold simultaneously.</w:t>
      </w:r>
    </w:p>
    <w:p>
      <w:pPr>
        <w:spacing w:after="120"/>
      </w:pPr>
      <w:r>
        <w:t xml:space="preserve"/>
      </w:r>
    </w:p>
    <w:p>
      <w:pPr>
        <w:pStyle w:val="Heading1"/>
        <w:spacing w:after="160" w:before="300"/>
      </w:pPr>
      <w:r>
        <w:rPr>
          <w:rFonts w:ascii="Arial" w:cs="Arial" w:eastAsia="Arial" w:hAnsi="Arial"/>
          <w:b/>
          <w:bCs/>
          <w:color w:val="1A5276"/>
          <w:sz w:val="32"/>
          <w:szCs w:val="32"/>
        </w:rPr>
        <w:t xml:space="preserve">Combined ROI Summary</w:t>
      </w:r>
    </w:p>
    <w:p>
      <w:pPr>
        <w:pBdr>
          <w:bottom w:val="single" w:color="2E86C1" w:sz="6" w:space="1"/>
        </w:pBd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c>
          <w:tcPr>
            <w:tcW w:type="dxa" w:w="5616"/>
            <w:gridSpan w:val="1"/>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left"/>
            </w:pPr>
            <w:r>
              <w:rPr>
                <w:rFonts w:ascii="Arial" w:cs="Arial" w:eastAsia="Arial" w:hAnsi="Arial"/>
                <w:b/>
                <w:bCs/>
                <w:color w:val="FFFFFF"/>
                <w:sz w:val="18"/>
                <w:szCs w:val="18"/>
              </w:rPr>
              <w:t xml:space="preserve">ROI Item</w:t>
            </w:r>
          </w:p>
        </w:tc>
        <w:tc>
          <w:tcPr>
            <w:tcW w:type="dxa" w:w="3744"/>
            <w:gridSpan w:val="1"/>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right"/>
            </w:pPr>
            <w:r>
              <w:rPr>
                <w:rFonts w:ascii="Arial" w:cs="Arial" w:eastAsia="Arial" w:hAnsi="Arial"/>
                <w:b/>
                <w:bCs/>
                <w:color w:val="FFFFFF"/>
                <w:sz w:val="18"/>
                <w:szCs w:val="18"/>
              </w:rPr>
              <w:t xml:space="preserve">Estimated Value</w:t>
            </w:r>
          </w:p>
        </w:tc>
      </w:tr>
      <w:tr>
        <w:tc>
          <w:tcPr>
            <w:tcW w:type="dxa" w:w="5616"/>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val="false"/>
                <w:bCs w:val="false"/>
                <w:color w:val="1C2833"/>
                <w:sz w:val="22"/>
                <w:szCs w:val="22"/>
              </w:rPr>
              <w:t xml:space="preserve">Avoided recordable incidents (est. 19 total × $43,000 blended avg)</w:t>
            </w:r>
          </w:p>
        </w:tc>
        <w:tc>
          <w:tcPr>
            <w:tcW w:type="dxa" w:w="3744"/>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right"/>
            </w:pPr>
            <w:r>
              <w:rPr>
                <w:rFonts w:ascii="Arial" w:cs="Arial" w:eastAsia="Arial" w:hAnsi="Arial"/>
                <w:b/>
                <w:bCs/>
                <w:color w:val="1E8449"/>
                <w:sz w:val="22"/>
                <w:szCs w:val="22"/>
              </w:rPr>
              <w:t xml:space="preserve">$817,000</w:t>
            </w:r>
          </w:p>
        </w:tc>
      </w:tr>
      <w:tr>
        <w:tc>
          <w:tcPr>
            <w:tcW w:type="dxa" w:w="5616"/>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C2833"/>
                <w:sz w:val="22"/>
                <w:szCs w:val="22"/>
              </w:rPr>
              <w:t xml:space="preserve">High-consequence incidents averted (confined space, electrocution)</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right"/>
            </w:pPr>
            <w:r>
              <w:rPr>
                <w:rFonts w:ascii="Arial" w:cs="Arial" w:eastAsia="Arial" w:hAnsi="Arial"/>
                <w:b/>
                <w:bCs/>
                <w:color w:val="1E8449"/>
                <w:sz w:val="22"/>
                <w:szCs w:val="22"/>
              </w:rPr>
              <w:t xml:space="preserve">$1,200,000+</w:t>
            </w:r>
          </w:p>
        </w:tc>
      </w:tr>
      <w:tr>
        <w:tc>
          <w:tcPr>
            <w:tcW w:type="dxa" w:w="5616"/>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val="false"/>
                <w:bCs w:val="false"/>
                <w:color w:val="1C2833"/>
                <w:sz w:val="22"/>
                <w:szCs w:val="22"/>
              </w:rPr>
              <w:t xml:space="preserve">New business won via safety prequalification (Summit + PowerLine)</w:t>
            </w:r>
          </w:p>
        </w:tc>
        <w:tc>
          <w:tcPr>
            <w:tcW w:type="dxa" w:w="3744"/>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right"/>
            </w:pPr>
            <w:r>
              <w:rPr>
                <w:rFonts w:ascii="Arial" w:cs="Arial" w:eastAsia="Arial" w:hAnsi="Arial"/>
                <w:b/>
                <w:bCs/>
                <w:color w:val="1E8449"/>
                <w:sz w:val="22"/>
                <w:szCs w:val="22"/>
              </w:rPr>
              <w:t xml:space="preserve">$460,000+</w:t>
            </w:r>
          </w:p>
        </w:tc>
      </w:tr>
      <w:tr>
        <w:tc>
          <w:tcPr>
            <w:tcW w:type="dxa" w:w="5616"/>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C2833"/>
                <w:sz w:val="22"/>
                <w:szCs w:val="22"/>
              </w:rPr>
              <w:t xml:space="preserve">OSHA citations avoided + regulatory exposure reduction</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right"/>
            </w:pPr>
            <w:r>
              <w:rPr>
                <w:rFonts w:ascii="Arial" w:cs="Arial" w:eastAsia="Arial" w:hAnsi="Arial"/>
                <w:b/>
                <w:bCs/>
                <w:color w:val="1E8449"/>
                <w:sz w:val="22"/>
                <w:szCs w:val="22"/>
              </w:rPr>
              <w:t xml:space="preserve">$67,000</w:t>
            </w:r>
          </w:p>
        </w:tc>
      </w:tr>
      <w:tr>
        <w:tc>
          <w:tcPr>
            <w:tcW w:type="dxa" w:w="5616"/>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val="false"/>
                <w:bCs w:val="false"/>
                <w:color w:val="1C2833"/>
                <w:sz w:val="22"/>
                <w:szCs w:val="22"/>
              </w:rPr>
              <w:t xml:space="preserve">Safety staff time recovered — admin to field reallocation</w:t>
            </w:r>
          </w:p>
        </w:tc>
        <w:tc>
          <w:tcPr>
            <w:tcW w:type="dxa" w:w="3744"/>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right"/>
            </w:pPr>
            <w:r>
              <w:rPr>
                <w:rFonts w:ascii="Arial" w:cs="Arial" w:eastAsia="Arial" w:hAnsi="Arial"/>
                <w:b/>
                <w:bCs/>
                <w:color w:val="1E8449"/>
                <w:sz w:val="22"/>
                <w:szCs w:val="22"/>
              </w:rPr>
              <w:t xml:space="preserve">$151,200</w:t>
            </w:r>
          </w:p>
        </w:tc>
      </w:tr>
      <w:tr>
        <w:tc>
          <w:tcPr>
            <w:tcW w:type="dxa" w:w="5616"/>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C2833"/>
                <w:sz w:val="22"/>
                <w:szCs w:val="22"/>
              </w:rPr>
              <w:t xml:space="preserve">Insurance / EMR improvement trajectory (PowerLine + IronBridge)</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right"/>
            </w:pPr>
            <w:r>
              <w:rPr>
                <w:rFonts w:ascii="Arial" w:cs="Arial" w:eastAsia="Arial" w:hAnsi="Arial"/>
                <w:b/>
                <w:bCs/>
                <w:color w:val="1E8449"/>
                <w:sz w:val="22"/>
                <w:szCs w:val="22"/>
              </w:rPr>
              <w:t xml:space="preserve">$76,000</w:t>
            </w:r>
          </w:p>
        </w:tc>
      </w:tr>
      <w:tr>
        <w:tc>
          <w:tcPr>
            <w:tcW w:type="dxa" w:w="5616"/>
            <w:gridSpan w:val="1"/>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left"/>
            </w:pPr>
            <w:r>
              <w:rPr>
                <w:rFonts w:ascii="Arial" w:cs="Arial" w:eastAsia="Arial" w:hAnsi="Arial"/>
                <w:b/>
                <w:bCs/>
                <w:color w:val="FFFFFF"/>
                <w:sz w:val="22"/>
                <w:szCs w:val="22"/>
              </w:rPr>
              <w:t xml:space="preserve">TOTAL ESTIMATED ROI (6 months)</w:t>
            </w:r>
          </w:p>
        </w:tc>
        <w:tc>
          <w:tcPr>
            <w:tcW w:type="dxa" w:w="3744"/>
            <w:gridSpan w:val="1"/>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right"/>
            </w:pPr>
            <w:r>
              <w:rPr>
                <w:rFonts w:ascii="Arial" w:cs="Arial" w:eastAsia="Arial" w:hAnsi="Arial"/>
                <w:b/>
                <w:bCs/>
                <w:color w:val="FFFFFF"/>
                <w:sz w:val="22"/>
                <w:szCs w:val="22"/>
              </w:rPr>
              <w:t xml:space="preserve">$3,416,624+</w:t>
            </w:r>
          </w:p>
        </w:tc>
      </w:tr>
    </w:tbl>
    <w:p>
      <w:pPr>
        <w:spacing w:after="120"/>
      </w:pPr>
      <w:r>
        <w:t xml:space="preserve"/>
      </w:r>
    </w:p>
    <w:p>
      <w:pPr>
        <w:spacing w:after="120"/>
        <w:jc w:val="left"/>
      </w:pPr>
      <w:r>
        <w:rPr>
          <w:rFonts w:ascii="Arial" w:cs="Arial" w:eastAsia="Arial" w:hAnsi="Arial"/>
          <w:b/>
          <w:bCs/>
          <w:color w:val="1C2833"/>
          <w:sz w:val="22"/>
          <w:szCs w:val="22"/>
        </w:rPr>
        <w:t xml:space="preserve">Total pilot platform cost (all 5 companies, 6 months): $33,090</w:t>
      </w:r>
    </w:p>
    <w:p>
      <w:pPr>
        <w:spacing w:after="120"/>
        <w:jc w:val="left"/>
      </w:pPr>
      <w:r>
        <w:rPr>
          <w:rFonts w:ascii="Arial" w:cs="Arial" w:eastAsia="Arial" w:hAnsi="Arial"/>
          <w:b/>
          <w:bCs/>
          <w:color w:val="1E8449"/>
          <w:sz w:val="22"/>
          <w:szCs w:val="22"/>
        </w:rPr>
        <w:t xml:space="preserve">Net return: $3,383,534+   |   Blended Return on Investment: 10,226%+</w:t>
      </w:r>
    </w:p>
    <w:p>
      <w:pPr>
        <w:spacing w:after="120"/>
      </w:pPr>
      <w:r>
        <w:t xml:space="preserve"/>
      </w:r>
    </w:p>
    <w:p>
      <w:pPr>
        <w:pStyle w:val="Heading1"/>
        <w:spacing w:after="160" w:before="300"/>
      </w:pPr>
      <w:r>
        <w:rPr>
          <w:rFonts w:ascii="Arial" w:cs="Arial" w:eastAsia="Arial" w:hAnsi="Arial"/>
          <w:b/>
          <w:bCs/>
          <w:color w:val="1A5276"/>
          <w:sz w:val="32"/>
          <w:szCs w:val="32"/>
        </w:rPr>
        <w:t xml:space="preserve">Pilot Voices</w:t>
      </w:r>
    </w:p>
    <w:p>
      <w:pPr>
        <w:pBdr>
          <w:bottom w:val="single" w:color="2E86C1" w:sz="6" w:space="1"/>
        </w:pBdr>
        <w:spacing w:after="120"/>
      </w:pPr>
    </w:p>
    <w:p>
      <w:pPr>
        <w:pBdr>
          <w:left w:val="single" w:color="2E86C1" w:sz="18" w:space="10"/>
        </w:pBdr>
        <w:spacing w:after="60" w:before="160"/>
        <w:ind w:left="864"/>
      </w:pPr>
      <w:r>
        <w:rPr>
          <w:rFonts w:ascii="Arial" w:cs="Arial" w:eastAsia="Arial" w:hAnsi="Arial"/>
          <w:color w:val="1C2833"/>
          <w:sz w:val="22"/>
          <w:szCs w:val="22"/>
        </w:rPr>
        <w:t xml:space="preserve">"We're below the industry average for the first time in 12 years. SafePredict paid for itself the first month."</w:t>
      </w:r>
    </w:p>
    <w:p>
      <w:pPr>
        <w:spacing w:after="200"/>
        <w:ind w:left="864"/>
      </w:pPr>
      <w:r>
        <w:rPr>
          <w:rFonts w:ascii="Arial" w:cs="Arial" w:eastAsia="Arial" w:hAnsi="Arial"/>
          <w:b/>
          <w:bCs/>
          <w:color w:val="5D6D7E"/>
          <w:sz w:val="20"/>
          <w:szCs w:val="20"/>
        </w:rPr>
        <w:t xml:space="preserve">— Owner, Crestwood Homes</w:t>
      </w:r>
    </w:p>
    <w:p>
      <w:pPr>
        <w:pBdr>
          <w:left w:val="single" w:color="2E86C1" w:sz="18" w:space="10"/>
        </w:pBdr>
        <w:spacing w:after="60" w:before="160"/>
        <w:ind w:left="864"/>
      </w:pPr>
      <w:r>
        <w:rPr>
          <w:rFonts w:ascii="Arial" w:cs="Arial" w:eastAsia="Arial" w:hAnsi="Arial"/>
          <w:color w:val="1C2833"/>
          <w:sz w:val="22"/>
          <w:szCs w:val="22"/>
        </w:rPr>
        <w:t xml:space="preserve">"We landed an $18M project because our TRIR finally qualified. Six months ago that bid was off the table."</w:t>
      </w:r>
    </w:p>
    <w:p>
      <w:pPr>
        <w:spacing w:after="200"/>
        <w:ind w:left="864"/>
      </w:pPr>
      <w:r>
        <w:rPr>
          <w:rFonts w:ascii="Arial" w:cs="Arial" w:eastAsia="Arial" w:hAnsi="Arial"/>
          <w:b/>
          <w:bCs/>
          <w:color w:val="5D6D7E"/>
          <w:sz w:val="20"/>
          <w:szCs w:val="20"/>
        </w:rPr>
        <w:t xml:space="preserve">— VP of Operations, Summit Commercial Construction</w:t>
      </w:r>
    </w:p>
    <w:p>
      <w:pPr>
        <w:pBdr>
          <w:left w:val="single" w:color="2E86C1" w:sz="18" w:space="10"/>
        </w:pBdr>
        <w:spacing w:after="60" w:before="160"/>
        <w:ind w:left="864"/>
      </w:pPr>
      <w:r>
        <w:rPr>
          <w:rFonts w:ascii="Arial" w:cs="Arial" w:eastAsia="Arial" w:hAnsi="Arial"/>
          <w:color w:val="1C2833"/>
          <w:sz w:val="22"/>
          <w:szCs w:val="22"/>
        </w:rPr>
        <w:t xml:space="preserve">"Gus stopped a confined space entry that would have killed someone. That one flag is worth more than everything else combined."</w:t>
      </w:r>
    </w:p>
    <w:p>
      <w:pPr>
        <w:spacing w:after="200"/>
        <w:ind w:left="864"/>
      </w:pPr>
      <w:r>
        <w:rPr>
          <w:rFonts w:ascii="Arial" w:cs="Arial" w:eastAsia="Arial" w:hAnsi="Arial"/>
          <w:b/>
          <w:bCs/>
          <w:color w:val="5D6D7E"/>
          <w:sz w:val="20"/>
          <w:szCs w:val="20"/>
        </w:rPr>
        <w:t xml:space="preserve">— Safety Director, IronBridge Industrial</w:t>
      </w:r>
    </w:p>
    <w:p>
      <w:pPr>
        <w:pBdr>
          <w:left w:val="single" w:color="2E86C1" w:sz="18" w:space="10"/>
        </w:pBdr>
        <w:spacing w:after="60" w:before="160"/>
        <w:ind w:left="864"/>
      </w:pPr>
      <w:r>
        <w:rPr>
          <w:rFonts w:ascii="Arial" w:cs="Arial" w:eastAsia="Arial" w:hAnsi="Arial"/>
          <w:color w:val="1C2833"/>
          <w:sz w:val="22"/>
          <w:szCs w:val="22"/>
        </w:rPr>
        <w:t xml:space="preserve">"I've been doing electrical for 18 years. I've never had a tool catch something I missed."</w:t>
      </w:r>
    </w:p>
    <w:p>
      <w:pPr>
        <w:spacing w:after="200"/>
        <w:ind w:left="864"/>
      </w:pPr>
      <w:r>
        <w:rPr>
          <w:rFonts w:ascii="Arial" w:cs="Arial" w:eastAsia="Arial" w:hAnsi="Arial"/>
          <w:b/>
          <w:bCs/>
          <w:color w:val="5D6D7E"/>
          <w:sz w:val="20"/>
          <w:szCs w:val="20"/>
        </w:rPr>
        <w:t xml:space="preserve">— Journeyman Electrician, PowerLine Electrical Services</w:t>
      </w:r>
    </w:p>
    <w:p>
      <w:pPr>
        <w:pBdr>
          <w:left w:val="single" w:color="2E86C1" w:sz="18" w:space="10"/>
        </w:pBdr>
        <w:spacing w:after="60" w:before="160"/>
        <w:ind w:left="864"/>
      </w:pPr>
      <w:r>
        <w:rPr>
          <w:rFonts w:ascii="Arial" w:cs="Arial" w:eastAsia="Arial" w:hAnsi="Arial"/>
          <w:color w:val="1C2833"/>
          <w:sz w:val="22"/>
          <w:szCs w:val="22"/>
        </w:rPr>
        <w:t xml:space="preserve">"SafePredict gave me the data to know I needed to fly to Las Vegas — and exactly what to fix when I got there."</w:t>
      </w:r>
    </w:p>
    <w:p>
      <w:pPr>
        <w:spacing w:after="200"/>
        <w:ind w:left="864"/>
      </w:pPr>
      <w:r>
        <w:rPr>
          <w:rFonts w:ascii="Arial" w:cs="Arial" w:eastAsia="Arial" w:hAnsi="Arial"/>
          <w:b/>
          <w:bCs/>
          <w:color w:val="5D6D7E"/>
          <w:sz w:val="20"/>
          <w:szCs w:val="20"/>
        </w:rPr>
        <w:t xml:space="preserve">— VP of Safety, Vertex Group</w:t>
      </w:r>
    </w:p>
    <w:p>
      <w:pPr>
        <w:pStyle w:val="Heading1"/>
        <w:spacing w:after="160" w:before="300"/>
      </w:pPr>
      <w:r>
        <w:rPr>
          <w:rFonts w:ascii="Arial" w:cs="Arial" w:eastAsia="Arial" w:hAnsi="Arial"/>
          <w:b/>
          <w:bCs/>
          <w:color w:val="1A5276"/>
          <w:sz w:val="32"/>
          <w:szCs w:val="32"/>
        </w:rPr>
        <w:t xml:space="preserve">Next Steps — H2 2026</w:t>
      </w:r>
    </w:p>
    <w:p>
      <w:pPr>
        <w:pBdr>
          <w:bottom w:val="single" w:color="2E86C1" w:sz="6" w:space="1"/>
        </w:pBdr>
        <w:spacing w:after="120"/>
      </w:pPr>
    </w:p>
    <w:p>
      <w:pPr>
        <w:pStyle w:val="ListParagraph"/>
        <w:numPr>
          <w:ilvl w:val="0"/>
          <w:numId w:val="2"/>
        </w:numPr>
        <w:spacing w:after="80"/>
      </w:pPr>
      <w:r>
        <w:rPr>
          <w:rFonts w:ascii="Arial" w:cs="Arial" w:eastAsia="Arial" w:hAnsi="Arial"/>
          <w:sz w:val="22"/>
          <w:szCs w:val="22"/>
        </w:rPr>
        <w:t xml:space="preserve">Full renewal confirmed for all 5 pilot companies.</w:t>
      </w:r>
    </w:p>
    <w:p>
      <w:pPr>
        <w:pStyle w:val="ListParagraph"/>
        <w:numPr>
          <w:ilvl w:val="0"/>
          <w:numId w:val="2"/>
        </w:numPr>
        <w:spacing w:after="80"/>
      </w:pPr>
      <w:r>
        <w:rPr>
          <w:rFonts w:ascii="Arial" w:cs="Arial" w:eastAsia="Arial" w:hAnsi="Arial"/>
          <w:sz w:val="22"/>
          <w:szCs w:val="22"/>
        </w:rPr>
        <w:t xml:space="preserve">Vertex Group expansion to 6 additional sites (est. 400+ additional workers).</w:t>
      </w:r>
    </w:p>
    <w:p>
      <w:pPr>
        <w:pStyle w:val="ListParagraph"/>
        <w:numPr>
          <w:ilvl w:val="0"/>
          <w:numId w:val="2"/>
        </w:numPr>
        <w:spacing w:after="80"/>
      </w:pPr>
      <w:r>
        <w:rPr>
          <w:rFonts w:ascii="Arial" w:cs="Arial" w:eastAsia="Arial" w:hAnsi="Arial"/>
          <w:sz w:val="22"/>
          <w:szCs w:val="22"/>
        </w:rPr>
        <w:t xml:space="preserve">IronBridge enterprise agreement covering both sites plus two future project sites.</w:t>
      </w:r>
    </w:p>
    <w:p>
      <w:pPr>
        <w:pStyle w:val="ListParagraph"/>
        <w:numPr>
          <w:ilvl w:val="0"/>
          <w:numId w:val="2"/>
        </w:numPr>
        <w:spacing w:after="80"/>
      </w:pPr>
      <w:r>
        <w:rPr>
          <w:rFonts w:ascii="Arial" w:cs="Arial" w:eastAsia="Arial" w:hAnsi="Arial"/>
          <w:sz w:val="22"/>
          <w:szCs w:val="22"/>
        </w:rPr>
        <w:t xml:space="preserve">SafePredict Subcontractor Portal launch — GCs manage sub safety scores in one dashboard.</w:t>
      </w:r>
    </w:p>
    <w:p>
      <w:pPr>
        <w:pStyle w:val="ListParagraph"/>
        <w:numPr>
          <w:ilvl w:val="0"/>
          <w:numId w:val="2"/>
        </w:numPr>
        <w:spacing w:after="240"/>
      </w:pPr>
      <w:r>
        <w:rPr>
          <w:rFonts w:ascii="Arial" w:cs="Arial" w:eastAsia="Arial" w:hAnsi="Arial"/>
          <w:sz w:val="22"/>
          <w:szCs w:val="22"/>
        </w:rPr>
        <w:t xml:space="preserve">Insurance carrier partnership discussions initiated with two national carriers for workers' comp premium discount program.</w:t>
      </w:r>
    </w:p>
    <w:p>
      <w:pPr>
        <w:spacing w:after="120"/>
      </w:pPr>
      <w:r>
        <w:t xml:space="preserve"/>
      </w:r>
    </w:p>
    <w:p>
      <w:pPr>
        <w:spacing w:after="120"/>
      </w:pPr>
      <w:r>
        <w:t xml:space="preserve"/>
      </w:r>
    </w:p>
    <w:p>
      <w:pPr>
        <w:pBdr>
          <w:bottom w:val="single" w:color="2E86C1" w:sz="6" w:space="1"/>
        </w:pBdr>
        <w:spacing w:after="120"/>
      </w:pPr>
    </w:p>
    <w:p>
      <w:pPr>
        <w:spacing w:after="80"/>
        <w:jc w:val="center"/>
      </w:pPr>
      <w:r>
        <w:rPr>
          <w:rFonts w:ascii="Arial" w:cs="Arial" w:eastAsia="Arial" w:hAnsi="Arial"/>
          <w:b/>
          <w:bCs/>
          <w:color w:val="1A5276"/>
          <w:sz w:val="20"/>
          <w:szCs w:val="20"/>
        </w:rPr>
        <w:t xml:space="preserve">SafePredict — Pilot Program Summary Report | June 2026</w:t>
      </w:r>
    </w:p>
    <w:p>
      <w:pPr>
        <w:jc w:val="center"/>
      </w:pPr>
      <w:r>
        <w:rPr>
          <w:rFonts w:ascii="Arial" w:cs="Arial" w:eastAsia="Arial" w:hAnsi="Arial"/>
          <w:color w:val="5D6D7E"/>
          <w:sz w:val="18"/>
          <w:szCs w:val="18"/>
        </w:rPr>
        <w:t xml:space="preserve">CONFIDENTIAL — For Investor and Partner Use Only</w:t>
      </w:r>
    </w:p>
    <w:sectPr>
      <w:headerReference w:type="default" r:id="rId7"/>
      <w:footerReference w:type="default" r:id="rId8"/>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276" w:sz="4" w:space="1"/>
      </w:pBdr>
      <w:jc w:val="center"/>
    </w:pPr>
    <w:r>
      <w:rPr>
        <w:rFonts w:ascii="Arial" w:cs="Arial" w:eastAsia="Arial" w:hAnsi="Arial"/>
        <w:color w:val="5D6D7E"/>
        <w:sz w:val="18"/>
        <w:szCs w:val="18"/>
      </w:rPr>
      <w:t xml:space="preserve">CONFIDENTIAL  |  SafePredict Pilot Data  |  Page </w:t>
    </w:r>
    <w:r>
      <w:rPr>
        <w:rFonts w:ascii="Arial" w:cs="Arial" w:eastAsia="Arial" w:hAnsi="Arial"/>
        <w:color w:val="5D6D7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4" w:space="1"/>
      </w:pBdr>
      <w:spacing w:after="80"/>
    </w:pPr>
    <w:r>
      <w:rPr>
        <w:rFonts w:ascii="Arial" w:cs="Arial" w:eastAsia="Arial" w:hAnsi="Arial"/>
        <w:b/>
        <w:bCs/>
        <w:color w:val="1A5276"/>
        <w:sz w:val="18"/>
        <w:szCs w:val="18"/>
      </w:rPr>
      <w:t xml:space="preserve">SafePredict </w:t>
    </w:r>
    <w:r>
      <w:rPr>
        <w:rFonts w:ascii="Arial" w:cs="Arial" w:eastAsia="Arial" w:hAnsi="Arial"/>
        <w:color w:val="5D6D7E"/>
        <w:sz w:val="18"/>
        <w:szCs w:val="18"/>
      </w:rPr>
      <w:t xml:space="preserve">| Pilot Program Summary Report — 5-Company Cohort, H1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A5276"/>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2026-06-03T22:52:09.970Z</dcterms:created>
  <dcterms:modified xsi:type="dcterms:W3CDTF">2026-06-03T22:52:09.970Z</dcterms:modified>
</cp:coreProperties>
</file>

<file path=docProps/custom.xml><?xml version="1.0" encoding="utf-8"?>
<Properties xmlns="http://schemas.openxmlformats.org/officeDocument/2006/custom-properties" xmlns:vt="http://schemas.openxmlformats.org/officeDocument/2006/docPropsVTypes"/>
</file>