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SAFEPREDICT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Construction Safety Intelligence Platform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4"/>
          <w:szCs w:val="44"/>
        </w:rPr>
        <w:t xml:space="preserve">Vertex Group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6-Month Pilot Case Study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Enterprise-grade safety visibility across 380 workers and 6 sites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Large Multi-Site General Contractor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 | NV | AZ | TX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380 field workers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Pilot Period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January 1 – June 30, 2026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SafePredict v1.0 (powered by Gus AI)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Executive Summary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Vertex Group is a large regional GC with 380 workers across six active sites in California, Nevada, Arizona, and Texas. Projects range from multifamily residential to mixed-use commercial ($5M–$45M). With six safety managers operating independently, safety performance had fragmented — some sites running well, others struggling with gaps invisible to corporate leadership.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The six-month SafePredict pilot gave Vertex's executive team real-time, cross-site visibility for the first time. By month three, benchmarking identified Site 4 (Las Vegas) as a significant outlier, enabling a targeted intervention. Company-wide TRIR fell from 3.1 to 1.8, JSA consistency reached 82%, and Vertex's Safety VP now presents Gus AI risk trends in monthly board meetings.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Company Profile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Vertex Group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Multi-Site GC (multifamily, mixed-use, retail)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Phoenix, AZ | Las Vegas, NV | Los Angeles, CA | Dallas, TX (6 sites)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380 field workers, 6 safety managers, 18 PMs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projects ($5M–$45M): 2 multifamily, 2 mixed-use, 2 retail TI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Safety Staff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safety managers (1 per site) + VP of Safety (corporate)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The Challenge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Safety culture fragmentation is a large multi-site GC's most dangerous problem. With six sites operating semi-independently, corporate visibility was limited to monthly aggregate reports — meaning problem sites were often 2–4 weeks behind in being identified. Three of Vertex's six sites produced zero recordable incidents in the prior 12 months; the other three accounted for all eight incidents, driving the TRIR to 3.1. A TRIR above 2.0 was locking Vertex out of approximately 35% of target projects.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Six-Month Journey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50"/>
        <w:gridCol w:w="1050"/>
        <w:gridCol w:w="1050"/>
        <w:gridCol w:w="1100"/>
        <w:gridCol w:w="391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TRIR*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JSA 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 Miss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Gus Score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Highlight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3.1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58%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69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Sites 1 (Phoenix) and 2 (Dallas) onboarded. Cross-site dashboard live. Baseline inconsistency immediately visible.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3.1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63%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64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Sites 3 (LA) and 4 (Las Vegas) added. Site 4 tracking TRIR of 5.2 — far above others. Intervention flagged.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2.8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70%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57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Sites 5 &amp; 6 added. VP of Safety deploys to Site 4 for week-long intensive intervention.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2.4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76%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48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Site 4 TRIR now 3.1 (rapid improvement). Inter-site benchmarking creates healthy competition.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2.1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79%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39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Gus cross-site pattern: concrete flatwork elevated risk at 4 sites. Company-wide alert issued.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June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1.8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82%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31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TRIR drops below 2.0. Full bid pool now accessible. Expansion to 6 additional sites under evaluation.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18"/>
          <w:szCs w:val="18"/>
        </w:rPr>
        <w:t xml:space="preserve">*Industry average for commercial/mixed-use GC: 2.8 (BLS 2024). TRIR annualized.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The Site 4 Intervention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Within 30 days of deploying across four sites, the cross-site dashboard revealed Site 4 (Las Vegas multifamily) running a TRIR trajectory of 5.2 — more than twice the corporate average and three times the industry average. Without real-time cross-site visibility, this would not have surfaced until the monthly report, weeks later.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The VP of Safety traveled to Site 4 and spent a week conducting field observations, reviewing Gus-flagged risks, and restructuring the site's JSA and permit workflows. By April, Site 4's TRIR had dropped to 3.1. VP of Safety: "SafePredict gave me the data to know I needed to go to Las Vegas — and what to fix when I got there."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Results at a Glance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6 Mo.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Total Recordable Incident Rate (TRIR)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3.1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1.8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42% reduction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JSA Completion Rate (company-wide avg)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58%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82%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24 points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Cross-Site Consistency Score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N/A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91%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New KPI established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Near-Miss Reports per Month (all sites)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&lt; 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17.8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6× increase (positive)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Bid Pool Access (TRIR &lt; 2.0 required)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65%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100%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Full market access restored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Gus AI Risk Score (corporate avg)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69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31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55% improvement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86C1" w:sz="18" w:space="10"/>
        </w:pBdr>
        <w:spacing w:after="60" w:before="160"/>
        <w:ind w:left="864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"I used to wait for a monthly report to know what was happening across our sites. Now I look at Gus every morning. I found a problem at Site 4 in week two that would have taken six weeks to see otherwise. That's the difference."</w:t>
      </w:r>
    </w:p>
    <w:p>
      <w:pPr>
        <w:spacing w:after="200"/>
        <w:ind w:left="864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— Angela T., VP of Safety, Vertex Group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ROI Analysis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 Item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Value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Avoided recordable incidents (est. 8 × $42,000 commercial avg)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$336,000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Expanded bid pool access — TRIR below 2.0 threshold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$400,000+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Safety staff efficiency (18 managers × 8 hrs/week × 24 wks at $38/hr)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$65,664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Site 4 early intervention — avoided likely serious incident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$180,000+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ESTIMATED ROI (6 months)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$981,664+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SafePredict pilot cost: $14,400 ($2,400/month × 6 months)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Net return: $967,264+   |   Return on Investment: 6,717%+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Key Takeaways</w:t>
      </w:r>
    </w:p>
    <w:p>
      <w:pPr>
        <w:pBdr>
          <w:bottom w:val="single" w:color="2E86C1" w:sz="6" w:space="1"/>
        </w:pBd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Visibility is the most valuable asset for large GCs: the cross-site dashboard did not change the safety culture at Site 4 — it told leadership where to intervene. For multi-site operators, SafePredict is primarily an intelligence platform.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Cross-site AI pattern detection is a unique capability: identifying that concrete flatwork carries elevated risk across four geographically dispersed sites — and enabling a company-wide response — requires platform-level data aggregation.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Safety performance as market access: dropping below TRIR 2.0 restored access to the full target bid pool — a material expansion of revenue opportunity that dwarfs the platform cost.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 |  SafePredict Pilot Data  |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8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SafePredict </w:t>
    </w:r>
    <w:r>
      <w:rPr>
        <w:rFonts w:ascii="Arial" w:cs="Arial" w:eastAsia="Arial" w:hAnsi="Arial"/>
        <w:color w:val="5D6D7E"/>
        <w:sz w:val="18"/>
        <w:szCs w:val="18"/>
      </w:rPr>
      <w:t xml:space="preserve">| Vertex Group — 6-Month Pilot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2026-06-03T22:52:09.931Z</dcterms:created>
  <dcterms:modified xsi:type="dcterms:W3CDTF">2026-06-03T22:52:09.931Z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