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17365D"/>
          <w:sz w:val="44"/>
        </w:rPr>
        <w:t>CSEP Builder Layout and Formatting Reference</w:t>
      </w:r>
    </w:p>
    <w:p>
      <w:pPr>
        <w:jc w:val="center"/>
      </w:pPr>
      <w:r>
        <w:rPr>
          <w:i/>
          <w:color w:val="5A5A5A"/>
          <w:sz w:val="21"/>
        </w:rPr>
        <w:t>Use this as context for ChatGPT when discussing the SafetyDocs360 CSEP builder layout, section order, and DOCX formatting.</w:t>
      </w:r>
    </w:p>
    <w:p>
      <w:pPr>
        <w:jc w:val="center"/>
      </w:pPr>
      <w:r>
        <w:rPr>
          <w:color w:val="5A5A5A"/>
          <w:sz w:val="19"/>
        </w:rPr>
        <w:t>Primary source files: lib/csepBuilder.ts, lib/csep/csep-section-order.ts, lib/csepDocxRenderer.ts, lib/csepDocxTheme.ts, types/csep-builder.ts</w:t>
      </w:r>
    </w:p>
    <w:p>
      <w:pPr>
        <w:pStyle w:val="Heading1"/>
      </w:pPr>
      <w:r>
        <w:t>How to Use This With ChatGPT</w:t>
      </w:r>
    </w:p>
    <w:p>
      <w:pPr>
        <w:pStyle w:val="ListBullet"/>
      </w:pPr>
      <w:r>
        <w:t>Upload this DOCX or paste the section list below when asking ChatGPT to help with CSEP builder changes.</w:t>
      </w:r>
    </w:p>
    <w:p>
      <w:pPr>
        <w:pStyle w:val="ListBullet"/>
      </w:pPr>
      <w:r>
        <w:t>Tell ChatGPT that the source code uses these exact section keys, titles, and formatting rules.</w:t>
      </w:r>
    </w:p>
    <w:p>
      <w:pPr>
        <w:pStyle w:val="ListBullet"/>
      </w:pPr>
      <w:r>
        <w:t>For code-level help, point ChatGPT to the files listed at the top and ask it to preserve this layout.</w:t>
      </w:r>
    </w:p>
    <w:p>
      <w:pPr>
        <w:pStyle w:val="Heading1"/>
      </w:pPr>
      <w:r>
        <w:t>Document Order</w:t>
      </w:r>
    </w:p>
    <w:p>
      <w:pPr>
        <w:pStyle w:val="ListNumber"/>
      </w:pPr>
      <w:r>
        <w:t>Title Page / Cover</w:t>
      </w:r>
    </w:p>
    <w:p>
      <w:pPr>
        <w:pStyle w:val="ListNumber"/>
      </w:pPr>
      <w:r>
        <w:t>Owner Message</w:t>
      </w:r>
    </w:p>
    <w:p>
      <w:pPr>
        <w:pStyle w:val="ListNumber"/>
      </w:pPr>
      <w:r>
        <w:t>Sign-Off Page</w:t>
      </w:r>
    </w:p>
    <w:p>
      <w:pPr>
        <w:pStyle w:val="ListNumber"/>
      </w:pPr>
      <w:r>
        <w:t>Table of Contents</w:t>
      </w:r>
    </w:p>
    <w:p>
      <w:pPr>
        <w:pStyle w:val="ListNumber"/>
      </w:pPr>
      <w:r>
        <w:t>Main CSEP Sections 1-21</w:t>
      </w:r>
    </w:p>
    <w:p>
      <w:pPr>
        <w:pStyle w:val="ListNumber"/>
      </w:pPr>
      <w:r>
        <w:t>Attachments / Appendices A-E</w:t>
      </w:r>
    </w:p>
    <w:p>
      <w:pPr>
        <w:pStyle w:val="Heading1"/>
      </w:pPr>
      <w:r>
        <w:t>Front Matter</w:t>
      </w:r>
    </w:p>
    <w:p>
      <w:pPr>
        <w:pStyle w:val="ListBullet"/>
      </w:pPr>
      <w:r>
        <w:t>Owner Message</w:t>
      </w:r>
    </w:p>
    <w:p>
      <w:pPr>
        <w:pStyle w:val="ListBullet"/>
      </w:pPr>
      <w:r>
        <w:t>Sign-Off Page</w:t>
      </w:r>
    </w:p>
    <w:p>
      <w:pPr>
        <w:pStyle w:val="ListBullet"/>
      </w:pPr>
      <w:r>
        <w:t>Table of Contents</w:t>
      </w:r>
    </w:p>
    <w:p>
      <w:pPr>
        <w:pStyle w:val="Heading1"/>
      </w:pPr>
      <w:r>
        <w:t>Main CSEP Sections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Project and Contractor Information</w:t>
      </w:r>
    </w:p>
    <w:p>
      <w:pPr>
        <w:pStyle w:val="ListNumber"/>
      </w:pPr>
      <w:r>
        <w:t>3. Scope of Work</w:t>
      </w:r>
    </w:p>
    <w:p>
      <w:pPr>
        <w:pStyle w:val="ListNumber"/>
      </w:pPr>
      <w:r>
        <w:t>4. Regulatory Basis and References</w:t>
      </w:r>
    </w:p>
    <w:p>
      <w:pPr>
        <w:pStyle w:val="ListNumber"/>
      </w:pPr>
      <w:r>
        <w:t>5. Top 10 Critical Risks</w:t>
      </w:r>
    </w:p>
    <w:p>
      <w:pPr>
        <w:pStyle w:val="ListNumber"/>
      </w:pPr>
      <w:r>
        <w:t>6. Roles and Responsibilities</w:t>
      </w:r>
    </w:p>
    <w:p>
      <w:pPr>
        <w:pStyle w:val="ListNumber"/>
      </w:pPr>
      <w:r>
        <w:t>7. Trade Interaction and Coordination</w:t>
      </w:r>
    </w:p>
    <w:p>
      <w:pPr>
        <w:pStyle w:val="ListNumber"/>
      </w:pPr>
      <w:r>
        <w:t>8. Site Access, Security, Laydown, and Traffic Control</w:t>
      </w:r>
    </w:p>
    <w:p>
      <w:pPr>
        <w:pStyle w:val="ListNumber"/>
      </w:pPr>
      <w:r>
        <w:t>9. Hazard Communication and Environmental Protection</w:t>
      </w:r>
    </w:p>
    <w:p>
      <w:pPr>
        <w:pStyle w:val="ListNumber"/>
      </w:pPr>
      <w:r>
        <w:t>10. Emergency Response and Rescue</w:t>
      </w:r>
    </w:p>
    <w:p>
      <w:pPr>
        <w:pStyle w:val="ListNumber"/>
      </w:pPr>
      <w:r>
        <w:t>11. IIPP / Incident Reporting / Corrective Action</w:t>
      </w:r>
    </w:p>
    <w:p>
      <w:pPr>
        <w:pStyle w:val="ListNumber"/>
      </w:pPr>
      <w:r>
        <w:t>12. Worker Conduct, Fit-for-Duty, and Disciplinary Program</w:t>
      </w:r>
    </w:p>
    <w:p>
      <w:pPr>
        <w:pStyle w:val="ListNumber"/>
      </w:pPr>
      <w:r>
        <w:t>13. Training, Competency, and Certifications</w:t>
      </w:r>
    </w:p>
    <w:p>
      <w:pPr>
        <w:pStyle w:val="ListNumber"/>
      </w:pPr>
      <w:r>
        <w:t>14. Required Permits and Hold Points</w:t>
      </w:r>
    </w:p>
    <w:p>
      <w:pPr>
        <w:pStyle w:val="ListNumber"/>
      </w:pPr>
      <w:r>
        <w:t>15. High-Risk Steel Erection Programs</w:t>
      </w:r>
    </w:p>
    <w:p>
      <w:pPr>
        <w:pStyle w:val="ListNumber"/>
      </w:pPr>
      <w:r>
        <w:t>16. Hazard Control Modules</w:t>
      </w:r>
    </w:p>
    <w:p>
      <w:pPr>
        <w:pStyle w:val="ListNumber"/>
      </w:pPr>
      <w:r>
        <w:t>17. Task Execution Modules</w:t>
      </w:r>
    </w:p>
    <w:p>
      <w:pPr>
        <w:pStyle w:val="ListNumber"/>
      </w:pPr>
      <w:r>
        <w:t>18. PPE and Work Attire</w:t>
      </w:r>
    </w:p>
    <w:p>
      <w:pPr>
        <w:pStyle w:val="ListNumber"/>
      </w:pPr>
      <w:r>
        <w:t>19. Inspections, Audits, and Records</w:t>
      </w:r>
    </w:p>
    <w:p>
      <w:pPr>
        <w:pStyle w:val="ListNumber"/>
      </w:pPr>
      <w:r>
        <w:t>20. Project Closeout</w:t>
      </w:r>
    </w:p>
    <w:p>
      <w:pPr>
        <w:pStyle w:val="ListNumber"/>
      </w:pPr>
      <w:r>
        <w:t>21. Document Control and Revision History</w:t>
      </w:r>
    </w:p>
    <w:p>
      <w:pPr>
        <w:pStyle w:val="Heading1"/>
      </w:pPr>
      <w:r>
        <w:t>Appendices</w:t>
      </w:r>
    </w:p>
    <w:p>
      <w:pPr>
        <w:pStyle w:val="ListBullet"/>
      </w:pPr>
      <w:r>
        <w:t>Appendix A. Forms and Permit Library</w:t>
      </w:r>
    </w:p>
    <w:p>
      <w:pPr>
        <w:pStyle w:val="ListBullet"/>
      </w:pPr>
      <w:r>
        <w:t>Appendix B. Incident and Investigation Package</w:t>
      </w:r>
    </w:p>
    <w:p>
      <w:pPr>
        <w:pStyle w:val="ListBullet"/>
      </w:pPr>
      <w:r>
        <w:t>Appendix C. Checklists and Inspection Sheets</w:t>
      </w:r>
    </w:p>
    <w:p>
      <w:pPr>
        <w:pStyle w:val="ListBullet"/>
      </w:pPr>
      <w:r>
        <w:t>Appendix D. Field References, Maps, and Contact Inserts</w:t>
      </w:r>
    </w:p>
    <w:p>
      <w:pPr>
        <w:pStyle w:val="ListBullet"/>
      </w:pPr>
      <w:r>
        <w:t>Appendix E. Task-Hazard-Control Matrix</w:t>
      </w:r>
    </w:p>
    <w:p>
      <w:pPr>
        <w:pStyle w:val="Heading1"/>
      </w:pPr>
      <w:r>
        <w:t>DOCX Formatting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EF4FA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968"/>
            <w:vAlign w:val="center"/>
            <w:shd w:fill="EEF4FA"/>
          </w:tcPr>
          <w:p>
            <w:r>
              <w:rPr>
                <w:b/>
              </w:rPr>
              <w:t>Current Formatting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Page margins</w:t>
            </w:r>
          </w:p>
        </w:tc>
        <w:tc>
          <w:tcPr>
            <w:tcW w:type="dxa" w:w="4968"/>
            <w:vAlign w:val="center"/>
          </w:tcPr>
          <w:p>
            <w:r>
              <w:t>Top 1 in, left/right 1 in, bottom 0.75 in, header/footer 0.5 in.</w:t>
            </w:r>
          </w:p>
        </w:tc>
      </w:tr>
      <w:tr>
        <w:tc>
          <w:tcPr>
            <w:tcW w:type="dxa" w:w="4968"/>
            <w:vAlign w:val="center"/>
          </w:tcPr>
          <w:p>
            <w:r>
              <w:t>Body font</w:t>
            </w:r>
          </w:p>
        </w:tc>
        <w:tc>
          <w:tcPr>
            <w:tcW w:type="dxa" w:w="4968"/>
            <w:vAlign w:val="center"/>
          </w:tcPr>
          <w:p>
            <w:r>
              <w:t>Calibri, approximately 10.5 pt, dark ink color.</w:t>
            </w:r>
          </w:p>
        </w:tc>
      </w:tr>
      <w:tr>
        <w:tc>
          <w:tcPr>
            <w:tcW w:type="dxa" w:w="4968"/>
            <w:vAlign w:val="center"/>
          </w:tcPr>
          <w:p>
            <w:r>
              <w:t>Line spacing</w:t>
            </w:r>
          </w:p>
        </w:tc>
        <w:tc>
          <w:tcPr>
            <w:tcW w:type="dxa" w:w="4968"/>
            <w:vAlign w:val="center"/>
          </w:tcPr>
          <w:p>
            <w:r>
              <w:t>Approximately 1.15 with paragraph spacing after body text.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 headings</w:t>
            </w:r>
          </w:p>
        </w:tc>
        <w:tc>
          <w:tcPr>
            <w:tcW w:type="dxa" w:w="4968"/>
            <w:vAlign w:val="center"/>
          </w:tcPr>
          <w:p>
            <w:r>
              <w:t>Calibri bold, approximately 14 pt, blue, Word Heading 1, keep with next.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Descriptors</w:t>
            </w:r>
          </w:p>
        </w:tc>
        <w:tc>
          <w:tcPr>
            <w:tcW w:type="dxa" w:w="4968"/>
            <w:vAlign w:val="center"/>
          </w:tcPr>
          <w:p>
            <w:r>
              <w:t>Italic gray text under section headings, approximately 10 pt.</w:t>
            </w:r>
          </w:p>
        </w:tc>
      </w:tr>
      <w:tr>
        <w:tc>
          <w:tcPr>
            <w:tcW w:type="dxa" w:w="4968"/>
            <w:vAlign w:val="center"/>
          </w:tcPr>
          <w:p>
            <w:r>
              <w:t>Subheadings</w:t>
            </w:r>
          </w:p>
        </w:tc>
        <w:tc>
          <w:tcPr>
            <w:tcW w:type="dxa" w:w="4968"/>
            <w:vAlign w:val="center"/>
          </w:tcPr>
          <w:p>
            <w:r>
              <w:t>Calibri bold, approximately 12 pt, medium blue.</w:t>
            </w:r>
          </w:p>
        </w:tc>
      </w:tr>
      <w:tr>
        <w:tc>
          <w:tcPr>
            <w:tcW w:type="dxa" w:w="4968"/>
            <w:vAlign w:val="center"/>
          </w:tcPr>
          <w:p>
            <w:r>
              <w:t>Footer</w:t>
            </w:r>
          </w:p>
        </w:tc>
        <w:tc>
          <w:tcPr>
            <w:tcW w:type="dxa" w:w="4968"/>
            <w:vAlign w:val="center"/>
          </w:tcPr>
          <w:p>
            <w:r>
              <w:t>Company Name | Contractor Name | Page number, gray, approximately 9 pt.</w:t>
            </w:r>
          </w:p>
        </w:tc>
      </w:tr>
      <w:tr>
        <w:tc>
          <w:tcPr>
            <w:tcW w:type="dxa" w:w="4968"/>
            <w:vAlign w:val="center"/>
          </w:tcPr>
          <w:p>
            <w:r>
              <w:t>Page numbering</w:t>
            </w:r>
          </w:p>
        </w:tc>
        <w:tc>
          <w:tcPr>
            <w:tcW w:type="dxa" w:w="4968"/>
            <w:vAlign w:val="center"/>
          </w:tcPr>
          <w:p>
            <w:r>
              <w:t>Starts at 1 in the generated DOCX.</w:t>
            </w:r>
          </w:p>
        </w:tc>
      </w:tr>
    </w:tbl>
    <w:p>
      <w:pPr>
        <w:pStyle w:val="Heading1"/>
      </w:pPr>
      <w:r>
        <w:t>Numbering and Matrix Behavior</w:t>
      </w:r>
    </w:p>
    <w:p>
      <w:pPr>
        <w:pStyle w:val="ListBullet"/>
      </w:pPr>
      <w:r>
        <w:t>Main sections use whole-number headings such as 1. Purpose and 16. Hazard Control Modules.</w:t>
      </w:r>
    </w:p>
    <w:p>
      <w:pPr>
        <w:pStyle w:val="ListBullet"/>
      </w:pPr>
      <w:r>
        <w:t>Subsections use decimal numbering such as 5.1, 5.2, 16.1, and nested content may use 5.1.1-style numbering.</w:t>
      </w:r>
    </w:p>
    <w:p>
      <w:pPr>
        <w:pStyle w:val="ListBullet"/>
      </w:pPr>
      <w:r>
        <w:t>Task-hazard matrix and line-list rows are rendered as indented labeled lines where possible, avoiding overly deep numbering like 5.85.1.</w:t>
      </w:r>
    </w:p>
    <w:p>
      <w:pPr>
        <w:pStyle w:val="ListBullet"/>
      </w:pPr>
      <w:r>
        <w:t>Field/value tables render as labeled paragraphs instead of visible grid tables.</w:t>
      </w:r>
    </w:p>
    <w:p>
      <w:pPr>
        <w:pStyle w:val="ListBullet"/>
      </w:pPr>
      <w:r>
        <w:t>The Task-Hazard-Control Matrix is placed in Appendix E rather than the main narrative body.</w:t>
      </w:r>
    </w:p>
    <w:p>
      <w:pPr>
        <w:pStyle w:val="Heading1"/>
      </w:pPr>
      <w:r>
        <w:t>Useful Prompt for ChatGPT</w:t>
      </w:r>
    </w:p>
    <w:p>
      <w:pPr>
        <w:spacing w:before="120" w:after="120"/>
        <w:ind w:left="360" w:right="360"/>
      </w:pPr>
      <w:r>
        <w:rPr>
          <w:rFonts w:ascii="Calibri" w:hAnsi="Calibri"/>
          <w:sz w:val="21"/>
        </w:rPr>
        <w:t>I am working on a SafetyDocs360 Contractor Safety &amp; Environmental Plan (CSEP) builder. Preserve the current layout: title page, owner message, sign-off page, table of contents, sections 1-21, and appendices A-E. Preserve the DOCX style rules: Calibri body text, blue numbered section headings, italic gray descriptors, decimal subsection numbering, footer with company/contractor/page number, and matrix rows rendered as labeled indented lines instead of deep numbering. Help me adjust content or code without changing this structure unless I explicitly ask.</w:t>
      </w:r>
    </w:p>
    <w:p>
      <w:pPr>
        <w:pStyle w:val="Heading1"/>
      </w:pPr>
      <w:r>
        <w:t>Reference Code Paths</w:t>
      </w:r>
    </w:p>
    <w:p>
      <w:pPr>
        <w:pStyle w:val="ListBullet"/>
      </w:pPr>
      <w:r>
        <w:t>lib/csepBuilder.ts - section definitions, appendices, coverage audit, structured draft assembly</w:t>
      </w:r>
    </w:p>
    <w:p>
      <w:pPr>
        <w:pStyle w:val="ListBullet"/>
      </w:pPr>
      <w:r>
        <w:t>lib/csep/csep-section-order.ts - canonical section order and descriptors</w:t>
      </w:r>
    </w:p>
    <w:p>
      <w:pPr>
        <w:pStyle w:val="ListBullet"/>
      </w:pPr>
      <w:r>
        <w:t>lib/csepDocxRenderer.ts - DOCX render model, cover, headings, numbering, footer, tables/matrix rendering</w:t>
      </w:r>
    </w:p>
    <w:p>
      <w:pPr>
        <w:pStyle w:val="ListBullet"/>
      </w:pPr>
      <w:r>
        <w:t>lib/csepDocxTheme.ts - older/shared CSEP document theme helpers</w:t>
      </w:r>
    </w:p>
    <w:p>
      <w:pPr>
        <w:pStyle w:val="ListBullet"/>
      </w:pPr>
      <w:r>
        <w:t>types/csep-builder.ts - section keys, appendix keys, builder block keys, and types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SafetyDocs360 CSEP Builder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