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20"/>
      </w:pPr>
      <w:r>
        <w:t xml:space="preserve"/>
      </w:r>
    </w:p>
    <w:p>
      <w:pPr>
        <w:spacing w:after="80"/>
        <w:jc w:val="center"/>
      </w:pPr>
      <w:r>
        <w:rPr>
          <w:rFonts w:ascii="Arial" w:cs="Arial" w:eastAsia="Arial" w:hAnsi="Arial"/>
          <w:b/>
          <w:bCs/>
          <w:color w:val="1A5276"/>
          <w:sz w:val="56"/>
          <w:szCs w:val="56"/>
        </w:rPr>
        <w:t xml:space="preserve">SAFEPREDICT</w:t>
      </w:r>
    </w:p>
    <w:p>
      <w:pPr>
        <w:spacing w:after="400"/>
        <w:jc w:val="center"/>
      </w:pPr>
      <w:r>
        <w:rPr>
          <w:rFonts w:ascii="Arial" w:cs="Arial" w:eastAsia="Arial" w:hAnsi="Arial"/>
          <w:color w:val="2E86C1"/>
          <w:sz w:val="26"/>
          <w:szCs w:val="26"/>
        </w:rPr>
        <w:t xml:space="preserve">Construction Safety Intelligence Platform</w:t>
      </w:r>
    </w:p>
    <w:p>
      <w:pPr>
        <w:pBdr>
          <w:bottom w:val="single" w:color="2E86C1" w:sz="6" w:space="1"/>
        </w:pBdr>
        <w:spacing w:after="120"/>
      </w:pPr>
    </w:p>
    <w:p>
      <w:pPr>
        <w:spacing w:after="120"/>
      </w:pPr>
      <w:r>
        <w:t xml:space="preserve"/>
      </w:r>
    </w:p>
    <w:p>
      <w:pPr>
        <w:spacing w:after="120"/>
        <w:jc w:val="center"/>
      </w:pPr>
      <w:r>
        <w:rPr>
          <w:rFonts w:ascii="Arial" w:cs="Arial" w:eastAsia="Arial" w:hAnsi="Arial"/>
          <w:b/>
          <w:bCs/>
          <w:color w:val="1C2833"/>
          <w:sz w:val="44"/>
          <w:szCs w:val="44"/>
        </w:rPr>
        <w:t xml:space="preserve">IronBridge Industrial</w:t>
      </w:r>
    </w:p>
    <w:p>
      <w:pPr>
        <w:spacing w:after="120"/>
        <w:jc w:val="center"/>
      </w:pPr>
      <w:r>
        <w:rPr>
          <w:rFonts w:ascii="Arial" w:cs="Arial" w:eastAsia="Arial" w:hAnsi="Arial"/>
          <w:b/>
          <w:bCs/>
          <w:color w:val="1A5276"/>
          <w:sz w:val="32"/>
          <w:szCs w:val="32"/>
        </w:rPr>
        <w:t xml:space="preserve">6-Month Pilot Case Study</w:t>
      </w:r>
    </w:p>
    <w:p>
      <w:pPr>
        <w:spacing w:after="60"/>
        <w:jc w:val="center"/>
      </w:pPr>
      <w:r>
        <w:rPr>
          <w:rFonts w:ascii="Arial" w:cs="Arial" w:eastAsia="Arial" w:hAnsi="Arial"/>
          <w:color w:val="5D6D7E"/>
          <w:sz w:val="24"/>
          <w:szCs w:val="24"/>
        </w:rPr>
        <w:t xml:space="preserve">Preventing high-consequence events in high-hazard work</w:t>
      </w:r>
    </w:p>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Sector</w:t>
            </w:r>
          </w:p>
        </w:tc>
        <w:tc>
          <w:tcPr>
            <w:tcW w:type="dxa" w:w="702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Heavy Industrial / Civil</w:t>
            </w:r>
          </w:p>
        </w:tc>
      </w:tr>
      <w:tr>
        <w:tc>
          <w:tcPr>
            <w:tcW w:type="dxa" w:w="2340"/>
            <w:gridSpan w:val="1"/>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Location</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Cleveland, OH</w:t>
            </w:r>
          </w:p>
        </w:tc>
      </w:tr>
      <w:tr>
        <w:tc>
          <w:tcPr>
            <w:tcW w:type="dxa" w:w="2340"/>
            <w:gridSpan w:val="1"/>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Workforce</w:t>
            </w:r>
          </w:p>
        </w:tc>
        <w:tc>
          <w:tcPr>
            <w:tcW w:type="dxa" w:w="702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215 field workers</w:t>
            </w:r>
          </w:p>
        </w:tc>
      </w:tr>
      <w:tr>
        <w:tc>
          <w:tcPr>
            <w:tcW w:type="dxa" w:w="2340"/>
            <w:gridSpan w:val="1"/>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Pilot Period</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January 1 – June 30, 2026</w:t>
            </w:r>
          </w:p>
        </w:tc>
      </w:tr>
      <w:tr>
        <w:tc>
          <w:tcPr>
            <w:tcW w:type="dxa" w:w="2340"/>
            <w:gridSpan w:val="1"/>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Platform</w:t>
            </w:r>
          </w:p>
        </w:tc>
        <w:tc>
          <w:tcPr>
            <w:tcW w:type="dxa" w:w="702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SafePredict v1.0 (powered by Gus AI)</w:t>
            </w:r>
          </w:p>
        </w:tc>
      </w:tr>
    </w:tbl>
    <w:p>
      <w:r>
        <w:br w:type="page"/>
      </w:r>
    </w:p>
    <w:p>
      <w:pPr>
        <w:pStyle w:val="Heading1"/>
        <w:spacing w:after="160" w:before="300"/>
      </w:pPr>
      <w:r>
        <w:rPr>
          <w:rFonts w:ascii="Arial" w:cs="Arial" w:eastAsia="Arial" w:hAnsi="Arial"/>
          <w:b/>
          <w:bCs/>
          <w:color w:val="1A5276"/>
          <w:sz w:val="32"/>
          <w:szCs w:val="32"/>
        </w:rPr>
        <w:t xml:space="preserve">Executive Summary</w:t>
      </w:r>
    </w:p>
    <w:p>
      <w:pPr>
        <w:pBdr>
          <w:bottom w:val="single" w:color="2E86C1" w:sz="6" w:space="1"/>
        </w:pBdr>
        <w:spacing w:after="120"/>
      </w:pPr>
    </w:p>
    <w:p>
      <w:pPr>
        <w:spacing w:after="120"/>
        <w:jc w:val="left"/>
      </w:pPr>
      <w:r>
        <w:rPr>
          <w:rFonts w:ascii="Arial" w:cs="Arial" w:eastAsia="Arial" w:hAnsi="Arial"/>
          <w:b w:val="false"/>
          <w:bCs w:val="false"/>
          <w:color w:val="1C2833"/>
          <w:sz w:val="22"/>
          <w:szCs w:val="22"/>
        </w:rPr>
        <w:t xml:space="preserve">IronBridge Industrial operates in heavy industrial and civil work — 215 workers across a chemical plant expansion (Akron) and bridge rehabilitation (Cleveland). Their risk profile includes confined space entry, energized electrical systems, and overhead crane operations. TRIR of 2.6 exceeded the 1.9 industry average for this sector.</w:t>
      </w:r>
    </w:p>
    <w:p>
      <w:pPr>
        <w:spacing w:after="120"/>
        <w:jc w:val="left"/>
      </w:pPr>
      <w:r>
        <w:rPr>
          <w:rFonts w:ascii="Arial" w:cs="Arial" w:eastAsia="Arial" w:hAnsi="Arial"/>
          <w:b w:val="false"/>
          <w:bCs w:val="false"/>
          <w:color w:val="1C2833"/>
          <w:sz w:val="22"/>
          <w:szCs w:val="22"/>
        </w:rPr>
        <w:t xml:space="preserve">Over six months, IronBridge drove TRIR to 1.4 — below industry average — while preventing what safety leadership describes as a likely confined space fatality through a Gus AI risk flag in March 2026. An OSHA audit in May 2026 resulted in zero citations (vs. $42,000 in fines the prior year).</w:t>
      </w:r>
    </w:p>
    <w:p>
      <w:pPr>
        <w:spacing w:after="120"/>
      </w:pPr>
      <w:r>
        <w:t xml:space="preserve"/>
      </w:r>
    </w:p>
    <w:p>
      <w:pPr>
        <w:pStyle w:val="Heading1"/>
        <w:spacing w:after="160" w:before="300"/>
      </w:pPr>
      <w:r>
        <w:rPr>
          <w:rFonts w:ascii="Arial" w:cs="Arial" w:eastAsia="Arial" w:hAnsi="Arial"/>
          <w:b/>
          <w:bCs/>
          <w:color w:val="1A5276"/>
          <w:sz w:val="32"/>
          <w:szCs w:val="32"/>
        </w:rPr>
        <w:t xml:space="preserve">Company Profile</w:t>
      </w:r>
    </w:p>
    <w:p>
      <w:pPr>
        <w:pBdr>
          <w:bottom w:val="single" w:color="2E86C1" w:sz="6" w:space="1"/>
        </w:pBd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Company</w:t>
            </w:r>
          </w:p>
        </w:tc>
        <w:tc>
          <w:tcPr>
            <w:tcW w:type="dxa" w:w="702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IronBridge Industrial</w:t>
            </w:r>
          </w:p>
        </w:tc>
      </w:tr>
      <w:tr>
        <w:tc>
          <w:tcPr>
            <w:tcW w:type="dxa" w:w="2340"/>
            <w:gridSpan w:val="1"/>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Sector</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Heavy Industrial &amp; Civil Construction</w:t>
            </w:r>
          </w:p>
        </w:tc>
      </w:tr>
      <w:tr>
        <w:tc>
          <w:tcPr>
            <w:tcW w:type="dxa" w:w="2340"/>
            <w:gridSpan w:val="1"/>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Locations</w:t>
            </w:r>
          </w:p>
        </w:tc>
        <w:tc>
          <w:tcPr>
            <w:tcW w:type="dxa" w:w="702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Cleveland, OH (Site A — bridge rehab) + Akron, OH (Site B — chemical plant)</w:t>
            </w:r>
          </w:p>
        </w:tc>
      </w:tr>
      <w:tr>
        <w:tc>
          <w:tcPr>
            <w:tcW w:type="dxa" w:w="2340"/>
            <w:gridSpan w:val="1"/>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Workforce</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215 field workers (110 Site A, 105 Site B)</w:t>
            </w:r>
          </w:p>
        </w:tc>
      </w:tr>
      <w:tr>
        <w:tc>
          <w:tcPr>
            <w:tcW w:type="dxa" w:w="2340"/>
            <w:gridSpan w:val="1"/>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Active Projects</w:t>
            </w:r>
          </w:p>
        </w:tc>
        <w:tc>
          <w:tcPr>
            <w:tcW w:type="dxa" w:w="702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Chemical plant expansion + Bridge rehabilitation</w:t>
            </w:r>
          </w:p>
        </w:tc>
      </w:tr>
      <w:tr>
        <w:tc>
          <w:tcPr>
            <w:tcW w:type="dxa" w:w="2340"/>
            <w:gridSpan w:val="1"/>
            <w:tcBorders>
              <w:top w:val="single" w:color="CCCCCC" w:sz="1"/>
              <w:left w:val="single" w:color="CCCCCC" w:sz="1"/>
              <w:bottom w:val="single" w:color="CCCCCC" w:sz="1"/>
              <w:right w:val="single" w:color="CCCCCC" w:sz="1"/>
            </w:tcBorders>
            <w:shd w:fill="D6EAF8" w:val="clear"/>
            <w:tcMar>
              <w:top w:type="dxa" w:w="80"/>
              <w:left w:type="dxa" w:w="150"/>
              <w:bottom w:type="dxa" w:w="80"/>
              <w:right w:type="dxa" w:w="150"/>
            </w:tcMar>
            <w:vAlign w:val="center"/>
          </w:tcPr>
          <w:p>
            <w:pPr>
              <w:jc w:val="left"/>
            </w:pPr>
            <w:r>
              <w:rPr>
                <w:rFonts w:ascii="Arial" w:cs="Arial" w:eastAsia="Arial" w:hAnsi="Arial"/>
                <w:b/>
                <w:bCs/>
                <w:color w:val="1C2833"/>
                <w:sz w:val="20"/>
                <w:szCs w:val="20"/>
              </w:rPr>
              <w:t xml:space="preserve">Safety Staff</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20"/>
                <w:szCs w:val="20"/>
              </w:rPr>
              <w:t xml:space="preserve">4 safety professionals (2 per site)</w:t>
            </w:r>
          </w:p>
        </w:tc>
      </w:tr>
    </w:tbl>
    <w:p>
      <w:pPr>
        <w:spacing w:after="120"/>
      </w:pPr>
      <w:r>
        <w:t xml:space="preserve"/>
      </w:r>
    </w:p>
    <w:p>
      <w:pPr>
        <w:pStyle w:val="Heading1"/>
        <w:spacing w:after="160" w:before="300"/>
      </w:pPr>
      <w:r>
        <w:rPr>
          <w:rFonts w:ascii="Arial" w:cs="Arial" w:eastAsia="Arial" w:hAnsi="Arial"/>
          <w:b/>
          <w:bCs/>
          <w:color w:val="1A5276"/>
          <w:sz w:val="32"/>
          <w:szCs w:val="32"/>
        </w:rPr>
        <w:t xml:space="preserve">The Challenge</w:t>
      </w:r>
    </w:p>
    <w:p>
      <w:pPr>
        <w:pBdr>
          <w:bottom w:val="single" w:color="2E86C1" w:sz="6" w:space="1"/>
        </w:pBdr>
        <w:spacing w:after="120"/>
      </w:pPr>
    </w:p>
    <w:p>
      <w:pPr>
        <w:spacing w:after="120"/>
        <w:jc w:val="left"/>
      </w:pPr>
      <w:r>
        <w:rPr>
          <w:rFonts w:ascii="Arial" w:cs="Arial" w:eastAsia="Arial" w:hAnsi="Arial"/>
          <w:b w:val="false"/>
          <w:bCs w:val="false"/>
          <w:color w:val="1C2833"/>
          <w:sz w:val="22"/>
          <w:szCs w:val="22"/>
        </w:rPr>
        <w:t xml:space="preserve">High-consequence work permit compliance (confined space, LOTO, hot work) was running at 68% — roughly 1 in 3 high-risk activities starting without formal permit approval. The prior year's OSHA audit produced $42,000 in serious violations related to confined space procedures. Safety professionals had no real-time view of which workers were on permit-required tasks at any given moment.</w:t>
      </w:r>
    </w:p>
    <w:p>
      <w:pPr>
        <w:spacing w:after="120"/>
      </w:pPr>
      <w:r>
        <w:t xml:space="preserve"/>
      </w:r>
    </w:p>
    <w:p>
      <w:pPr>
        <w:pStyle w:val="Heading1"/>
        <w:spacing w:after="160" w:before="300"/>
      </w:pPr>
      <w:r>
        <w:rPr>
          <w:rFonts w:ascii="Arial" w:cs="Arial" w:eastAsia="Arial" w:hAnsi="Arial"/>
          <w:b/>
          <w:bCs/>
          <w:color w:val="1A5276"/>
          <w:sz w:val="32"/>
          <w:szCs w:val="32"/>
        </w:rPr>
        <w:t xml:space="preserve">Six-Month Journey</w:t>
      </w:r>
    </w:p>
    <w:p>
      <w:pPr>
        <w:pBdr>
          <w:bottom w:val="single" w:color="2E86C1" w:sz="6" w:space="1"/>
        </w:pBd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50"/>
        <w:gridCol w:w="1050"/>
        <w:gridCol w:w="1050"/>
        <w:gridCol w:w="1100"/>
        <w:gridCol w:w="3910"/>
      </w:tblGrid>
      <w:tr>
        <w:tc>
          <w:tcPr>
            <w:tcW w:type="dxa" w:w="120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18"/>
                <w:szCs w:val="18"/>
              </w:rPr>
              <w:t xml:space="preserve">Month</w:t>
            </w:r>
          </w:p>
        </w:tc>
        <w:tc>
          <w:tcPr>
            <w:tcW w:type="dxa" w:w="105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TRIR*</w:t>
            </w:r>
          </w:p>
        </w:tc>
        <w:tc>
          <w:tcPr>
            <w:tcW w:type="dxa" w:w="105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JSA %</w:t>
            </w:r>
          </w:p>
        </w:tc>
        <w:tc>
          <w:tcPr>
            <w:tcW w:type="dxa" w:w="105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Near Miss</w:t>
            </w:r>
          </w:p>
        </w:tc>
        <w:tc>
          <w:tcPr>
            <w:tcW w:type="dxa" w:w="110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Gus Score</w:t>
            </w:r>
          </w:p>
        </w:tc>
        <w:tc>
          <w:tcPr>
            <w:tcW w:type="dxa" w:w="391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18"/>
                <w:szCs w:val="18"/>
              </w:rPr>
              <w:t xml:space="preserve">Highlight</w:t>
            </w:r>
          </w:p>
        </w:tc>
      </w:tr>
      <w:tr>
        <w:tc>
          <w:tcPr>
            <w:tcW w:type="dxa" w:w="1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January 2026</w:t>
            </w:r>
          </w:p>
        </w:tc>
        <w:tc>
          <w:tcPr>
            <w:tcW w:type="dxa" w:w="105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2.6</w:t>
            </w:r>
          </w:p>
        </w:tc>
        <w:tc>
          <w:tcPr>
            <w:tcW w:type="dxa" w:w="105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63%</w:t>
            </w:r>
          </w:p>
        </w:tc>
        <w:tc>
          <w:tcPr>
            <w:tcW w:type="dxa" w:w="105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4</w:t>
            </w:r>
          </w:p>
        </w:tc>
        <w:tc>
          <w:tcPr>
            <w:tcW w:type="dxa" w:w="11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67</w:t>
            </w:r>
          </w:p>
        </w:tc>
        <w:tc>
          <w:tcPr>
            <w:tcW w:type="dxa" w:w="391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Site A (Cleveland) fully onboarded. High-consequence permit module activated.</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February 2026</w:t>
            </w:r>
          </w:p>
        </w:tc>
        <w:tc>
          <w:tcPr>
            <w:tcW w:type="dxa" w:w="105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2.6</w:t>
            </w:r>
          </w:p>
        </w:tc>
        <w:tc>
          <w:tcPr>
            <w:tcW w:type="dxa" w:w="105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69%</w:t>
            </w:r>
          </w:p>
        </w:tc>
        <w:tc>
          <w:tcPr>
            <w:tcW w:type="dxa" w:w="105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6</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61</w:t>
            </w:r>
          </w:p>
        </w:tc>
        <w:tc>
          <w:tcPr>
            <w:tcW w:type="dxa" w:w="391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Site B (Akron) onboarded. Cross-site risk benchmarking visible for first time.</w:t>
            </w:r>
          </w:p>
        </w:tc>
      </w:tr>
      <w:tr>
        <w:tc>
          <w:tcPr>
            <w:tcW w:type="dxa" w:w="1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March 2026</w:t>
            </w:r>
          </w:p>
        </w:tc>
        <w:tc>
          <w:tcPr>
            <w:tcW w:type="dxa" w:w="105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2.3</w:t>
            </w:r>
          </w:p>
        </w:tc>
        <w:tc>
          <w:tcPr>
            <w:tcW w:type="dxa" w:w="105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74%</w:t>
            </w:r>
          </w:p>
        </w:tc>
        <w:tc>
          <w:tcPr>
            <w:tcW w:type="dxa" w:w="105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9</w:t>
            </w:r>
          </w:p>
        </w:tc>
        <w:tc>
          <w:tcPr>
            <w:tcW w:type="dxa" w:w="11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53</w:t>
            </w:r>
          </w:p>
        </w:tc>
        <w:tc>
          <w:tcPr>
            <w:tcW w:type="dxa" w:w="391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CRITICAL: Gus AI flags confined space entry gap at Site B. Atmospheric testing reveals oxygen-deficient conditions. Entry halted. Fatality averted.</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April 2026</w:t>
            </w:r>
          </w:p>
        </w:tc>
        <w:tc>
          <w:tcPr>
            <w:tcW w:type="dxa" w:w="105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2.1</w:t>
            </w:r>
          </w:p>
        </w:tc>
        <w:tc>
          <w:tcPr>
            <w:tcW w:type="dxa" w:w="105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78%</w:t>
            </w:r>
          </w:p>
        </w:tc>
        <w:tc>
          <w:tcPr>
            <w:tcW w:type="dxa" w:w="105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8</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44</w:t>
            </w:r>
          </w:p>
        </w:tc>
        <w:tc>
          <w:tcPr>
            <w:tcW w:type="dxa" w:w="391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Corrective actions from near-miss closed. High-consequence permit compliance reaches 88%.</w:t>
            </w:r>
          </w:p>
        </w:tc>
      </w:tr>
      <w:tr>
        <w:tc>
          <w:tcPr>
            <w:tcW w:type="dxa" w:w="12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May 2026</w:t>
            </w:r>
          </w:p>
        </w:tc>
        <w:tc>
          <w:tcPr>
            <w:tcW w:type="dxa" w:w="105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1.7</w:t>
            </w:r>
          </w:p>
        </w:tc>
        <w:tc>
          <w:tcPr>
            <w:tcW w:type="dxa" w:w="105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84%</w:t>
            </w:r>
          </w:p>
        </w:tc>
        <w:tc>
          <w:tcPr>
            <w:tcW w:type="dxa" w:w="105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11</w:t>
            </w:r>
          </w:p>
        </w:tc>
        <w:tc>
          <w:tcPr>
            <w:tcW w:type="dxa" w:w="110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33</w:t>
            </w:r>
          </w:p>
        </w:tc>
        <w:tc>
          <w:tcPr>
            <w:tcW w:type="dxa" w:w="391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OSHA compliance audit conducted — ZERO citations. Prior year: $42,000 in fines.</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18"/>
                <w:szCs w:val="18"/>
              </w:rPr>
              <w:t xml:space="preserve">June 2026</w:t>
            </w:r>
          </w:p>
        </w:tc>
        <w:tc>
          <w:tcPr>
            <w:tcW w:type="dxa" w:w="105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1.4</w:t>
            </w:r>
          </w:p>
        </w:tc>
        <w:tc>
          <w:tcPr>
            <w:tcW w:type="dxa" w:w="105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89%</w:t>
            </w:r>
          </w:p>
        </w:tc>
        <w:tc>
          <w:tcPr>
            <w:tcW w:type="dxa" w:w="105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10</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18"/>
                <w:szCs w:val="18"/>
              </w:rPr>
              <w:t xml:space="preserve">22</w:t>
            </w:r>
          </w:p>
        </w:tc>
        <w:tc>
          <w:tcPr>
            <w:tcW w:type="dxa" w:w="391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5D6D7E"/>
                <w:sz w:val="18"/>
                <w:szCs w:val="18"/>
              </w:rPr>
              <w:t xml:space="preserve">TRIR below industry average (1.9). High-consequence permit compliance at 96%.</w:t>
            </w:r>
          </w:p>
        </w:tc>
      </w:tr>
    </w:tbl>
    <w:p>
      <w:pPr>
        <w:spacing w:after="120"/>
        <w:jc w:val="left"/>
      </w:pPr>
      <w:r>
        <w:rPr>
          <w:rFonts w:ascii="Arial" w:cs="Arial" w:eastAsia="Arial" w:hAnsi="Arial"/>
          <w:b w:val="false"/>
          <w:bCs w:val="false"/>
          <w:color w:val="5D6D7E"/>
          <w:sz w:val="18"/>
          <w:szCs w:val="18"/>
        </w:rPr>
        <w:t xml:space="preserve">*Industry average for heavy industrial construction: 1.9 (BLS 2024). TRIR annualized.</w:t>
      </w:r>
    </w:p>
    <w:p>
      <w:pPr>
        <w:spacing w:after="120"/>
      </w:pPr>
      <w:r>
        <w:t xml:space="preserve"/>
      </w:r>
    </w:p>
    <w:p>
      <w:pPr>
        <w:pStyle w:val="Heading1"/>
        <w:spacing w:after="160" w:before="300"/>
      </w:pPr>
      <w:r>
        <w:rPr>
          <w:rFonts w:ascii="Arial" w:cs="Arial" w:eastAsia="Arial" w:hAnsi="Arial"/>
          <w:b/>
          <w:bCs/>
          <w:color w:val="1A5276"/>
          <w:sz w:val="32"/>
          <w:szCs w:val="32"/>
        </w:rPr>
        <w:t xml:space="preserve">The March Incident — A Life Saved</w:t>
      </w:r>
    </w:p>
    <w:p>
      <w:pPr>
        <w:pBdr>
          <w:bottom w:val="single" w:color="2E86C1" w:sz="6" w:space="1"/>
        </w:pBdr>
        <w:spacing w:after="120"/>
      </w:pPr>
    </w:p>
    <w:p>
      <w:pPr>
        <w:spacing w:after="120"/>
        <w:jc w:val="left"/>
      </w:pPr>
      <w:r>
        <w:rPr>
          <w:rFonts w:ascii="Arial" w:cs="Arial" w:eastAsia="Arial" w:hAnsi="Arial"/>
          <w:b w:val="false"/>
          <w:bCs w:val="false"/>
          <w:color w:val="1C2833"/>
          <w:sz w:val="22"/>
          <w:szCs w:val="22"/>
        </w:rPr>
        <w:t xml:space="preserve">In March 2026, a crew at Site B (Akron) prepared to enter a process vessel for inspection. Gus AI flagged that atmospheric monitoring had not been completed and a gas detection device check was overdue. The site safety officer received a mobile alert and reached the entry point before the crew proceeded. Atmospheric testing revealed oxygen-deficient conditions — a condition that would likely have caused unconsciousness or death within minutes of entry.</w:t>
      </w:r>
    </w:p>
    <w:p>
      <w:pPr>
        <w:spacing w:after="120"/>
        <w:jc w:val="left"/>
      </w:pPr>
      <w:r>
        <w:rPr>
          <w:rFonts w:ascii="Arial" w:cs="Arial" w:eastAsia="Arial" w:hAnsi="Arial"/>
          <w:b w:val="false"/>
          <w:bCs w:val="false"/>
          <w:color w:val="1C2833"/>
          <w:sz w:val="22"/>
          <w:szCs w:val="22"/>
        </w:rPr>
        <w:t xml:space="preserve">IronBridge's safety director: "The most significant safety event in our 22-year history — because it's the one we stopped before it happened."</w:t>
      </w:r>
    </w:p>
    <w:p>
      <w:pPr>
        <w:spacing w:after="120"/>
      </w:pPr>
      <w:r>
        <w:t xml:space="preserve"/>
      </w:r>
    </w:p>
    <w:p>
      <w:pPr>
        <w:pStyle w:val="Heading1"/>
        <w:spacing w:after="160" w:before="300"/>
      </w:pPr>
      <w:r>
        <w:rPr>
          <w:rFonts w:ascii="Arial" w:cs="Arial" w:eastAsia="Arial" w:hAnsi="Arial"/>
          <w:b/>
          <w:bCs/>
          <w:color w:val="1A5276"/>
          <w:sz w:val="32"/>
          <w:szCs w:val="32"/>
        </w:rPr>
        <w:t xml:space="preserve">Results at a Glance</w:t>
      </w:r>
    </w:p>
    <w:p>
      <w:pPr>
        <w:pBdr>
          <w:bottom w:val="single" w:color="2E86C1" w:sz="6" w:space="1"/>
        </w:pBd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18"/>
                <w:szCs w:val="18"/>
              </w:rPr>
              <w:t xml:space="preserve">Metric</w:t>
            </w:r>
          </w:p>
        </w:tc>
        <w:tc>
          <w:tcPr>
            <w:tcW w:type="dxa" w:w="156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Before</w:t>
            </w:r>
          </w:p>
        </w:tc>
        <w:tc>
          <w:tcPr>
            <w:tcW w:type="dxa" w:w="156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After 6 Mo.</w:t>
            </w:r>
          </w:p>
        </w:tc>
        <w:tc>
          <w:tcPr>
            <w:tcW w:type="dxa" w:w="3120"/>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center"/>
            </w:pPr>
            <w:r>
              <w:rPr>
                <w:rFonts w:ascii="Arial" w:cs="Arial" w:eastAsia="Arial" w:hAnsi="Arial"/>
                <w:b/>
                <w:bCs/>
                <w:color w:val="FFFFFF"/>
                <w:sz w:val="18"/>
                <w:szCs w:val="18"/>
              </w:rPr>
              <w:t xml:space="preserve">Change</w:t>
            </w:r>
          </w:p>
        </w:tc>
      </w:tr>
      <w:tr>
        <w:tc>
          <w:tcPr>
            <w:tcW w:type="dxa" w:w="312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22"/>
                <w:szCs w:val="22"/>
              </w:rPr>
              <w:t xml:space="preserve">Total Recordable Incident Rate (TRIR)</w:t>
            </w:r>
          </w:p>
        </w:tc>
        <w:tc>
          <w:tcPr>
            <w:tcW w:type="dxa" w:w="156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2"/>
                <w:szCs w:val="22"/>
              </w:rPr>
              <w:t xml:space="preserve">2.6</w:t>
            </w:r>
          </w:p>
        </w:tc>
        <w:tc>
          <w:tcPr>
            <w:tcW w:type="dxa" w:w="156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C2833"/>
                <w:sz w:val="22"/>
                <w:szCs w:val="22"/>
              </w:rPr>
              <w:t xml:space="preserve">1.4</w:t>
            </w:r>
          </w:p>
        </w:tc>
        <w:tc>
          <w:tcPr>
            <w:tcW w:type="dxa" w:w="312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E8449"/>
                <w:sz w:val="22"/>
                <w:szCs w:val="22"/>
              </w:rPr>
              <w:t xml:space="preserve">▼ 46% reduction</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22"/>
                <w:szCs w:val="22"/>
              </w:rPr>
              <w:t xml:space="preserve">High-Consequence Work Permit Compliance</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2"/>
                <w:szCs w:val="22"/>
              </w:rPr>
              <w:t xml:space="preserve">68%</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C2833"/>
                <w:sz w:val="22"/>
                <w:szCs w:val="22"/>
              </w:rPr>
              <w:t xml:space="preserve">96%</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E8449"/>
                <w:sz w:val="22"/>
                <w:szCs w:val="22"/>
              </w:rPr>
              <w:t xml:space="preserve">▲ 28 points</w:t>
            </w:r>
          </w:p>
        </w:tc>
      </w:tr>
      <w:tr>
        <w:tc>
          <w:tcPr>
            <w:tcW w:type="dxa" w:w="312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22"/>
                <w:szCs w:val="22"/>
              </w:rPr>
              <w:t xml:space="preserve">JSA Completion Rate</w:t>
            </w:r>
          </w:p>
        </w:tc>
        <w:tc>
          <w:tcPr>
            <w:tcW w:type="dxa" w:w="156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2"/>
                <w:szCs w:val="22"/>
              </w:rPr>
              <w:t xml:space="preserve">63%</w:t>
            </w:r>
          </w:p>
        </w:tc>
        <w:tc>
          <w:tcPr>
            <w:tcW w:type="dxa" w:w="156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C2833"/>
                <w:sz w:val="22"/>
                <w:szCs w:val="22"/>
              </w:rPr>
              <w:t xml:space="preserve">89%</w:t>
            </w:r>
          </w:p>
        </w:tc>
        <w:tc>
          <w:tcPr>
            <w:tcW w:type="dxa" w:w="312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E8449"/>
                <w:sz w:val="22"/>
                <w:szCs w:val="22"/>
              </w:rPr>
              <w:t xml:space="preserve">▲ 26 points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22"/>
                <w:szCs w:val="22"/>
              </w:rPr>
              <w:t xml:space="preserve">OSHA Citations (annual audit)</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2"/>
                <w:szCs w:val="22"/>
              </w:rPr>
              <w:t xml:space="preserve">$42K fines</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C2833"/>
                <w:sz w:val="22"/>
                <w:szCs w:val="22"/>
              </w:rPr>
              <w:t xml:space="preserve">Zero citations</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E8449"/>
                <w:sz w:val="22"/>
                <w:szCs w:val="22"/>
              </w:rPr>
              <w:t xml:space="preserve">▼ $42,000 avoided</w:t>
            </w:r>
          </w:p>
        </w:tc>
      </w:tr>
      <w:tr>
        <w:tc>
          <w:tcPr>
            <w:tcW w:type="dxa" w:w="312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bCs/>
                <w:color w:val="1C2833"/>
                <w:sz w:val="22"/>
                <w:szCs w:val="22"/>
              </w:rPr>
              <w:t xml:space="preserve">Near-Miss Reports per Month (avg)</w:t>
            </w:r>
          </w:p>
        </w:tc>
        <w:tc>
          <w:tcPr>
            <w:tcW w:type="dxa" w:w="156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2"/>
                <w:szCs w:val="22"/>
              </w:rPr>
              <w:t xml:space="preserve">&lt; 2</w:t>
            </w:r>
          </w:p>
        </w:tc>
        <w:tc>
          <w:tcPr>
            <w:tcW w:type="dxa" w:w="156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C2833"/>
                <w:sz w:val="22"/>
                <w:szCs w:val="22"/>
              </w:rPr>
              <w:t xml:space="preserve">8.0</w:t>
            </w:r>
          </w:p>
        </w:tc>
        <w:tc>
          <w:tcPr>
            <w:tcW w:type="dxa" w:w="3120"/>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center"/>
            </w:pPr>
            <w:r>
              <w:rPr>
                <w:rFonts w:ascii="Arial" w:cs="Arial" w:eastAsia="Arial" w:hAnsi="Arial"/>
                <w:b/>
                <w:bCs/>
                <w:color w:val="1E8449"/>
                <w:sz w:val="22"/>
                <w:szCs w:val="22"/>
              </w:rPr>
              <w:t xml:space="preserve">▲ 4× increase (positive)</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1C2833"/>
                <w:sz w:val="22"/>
                <w:szCs w:val="22"/>
              </w:rPr>
              <w:t xml:space="preserve">Gus AI Risk Score (avg, both sites)</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1C2833"/>
                <w:sz w:val="22"/>
                <w:szCs w:val="22"/>
              </w:rPr>
              <w:t xml:space="preserve">67</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C2833"/>
                <w:sz w:val="22"/>
                <w:szCs w:val="22"/>
              </w:rPr>
              <w:t xml:space="preserve">22</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1E8449"/>
                <w:sz w:val="22"/>
                <w:szCs w:val="22"/>
              </w:rPr>
              <w:t xml:space="preserve">▼ 67% improvement</w:t>
            </w:r>
          </w:p>
        </w:tc>
      </w:tr>
    </w:tbl>
    <w:p>
      <w:pPr>
        <w:spacing w:after="120"/>
      </w:pPr>
      <w:r>
        <w:t xml:space="preserve"/>
      </w:r>
    </w:p>
    <w:p>
      <w:pPr>
        <w:pBdr>
          <w:left w:val="single" w:color="2E86C1" w:sz="18" w:space="10"/>
        </w:pBdr>
        <w:spacing w:after="60" w:before="160"/>
        <w:ind w:left="864"/>
      </w:pPr>
      <w:r>
        <w:rPr>
          <w:rFonts w:ascii="Arial" w:cs="Arial" w:eastAsia="Arial" w:hAnsi="Arial"/>
          <w:color w:val="1C2833"/>
          <w:sz w:val="22"/>
          <w:szCs w:val="22"/>
        </w:rPr>
        <w:t xml:space="preserve">"Gus stopped a confined space entry in March that would have killed someone. That one flag alone justifies every dollar we've spent on this platform."</w:t>
      </w:r>
    </w:p>
    <w:p>
      <w:pPr>
        <w:spacing w:after="200"/>
        <w:ind w:left="864"/>
      </w:pPr>
      <w:r>
        <w:rPr>
          <w:rFonts w:ascii="Arial" w:cs="Arial" w:eastAsia="Arial" w:hAnsi="Arial"/>
          <w:b/>
          <w:bCs/>
          <w:color w:val="5D6D7E"/>
          <w:sz w:val="20"/>
          <w:szCs w:val="20"/>
        </w:rPr>
        <w:t xml:space="preserve">— Dale R., Safety Director, IronBridge Industrial</w:t>
      </w:r>
    </w:p>
    <w:p>
      <w:pPr>
        <w:pStyle w:val="Heading1"/>
        <w:spacing w:after="160" w:before="300"/>
      </w:pPr>
      <w:r>
        <w:rPr>
          <w:rFonts w:ascii="Arial" w:cs="Arial" w:eastAsia="Arial" w:hAnsi="Arial"/>
          <w:b/>
          <w:bCs/>
          <w:color w:val="1A5276"/>
          <w:sz w:val="32"/>
          <w:szCs w:val="32"/>
        </w:rPr>
        <w:t xml:space="preserve">ROI Analysis</w:t>
      </w:r>
    </w:p>
    <w:p>
      <w:pPr>
        <w:pBdr>
          <w:bottom w:val="single" w:color="2E86C1" w:sz="6" w:space="1"/>
        </w:pBd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W w:type="dxa" w:w="5616"/>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18"/>
                <w:szCs w:val="18"/>
              </w:rPr>
              <w:t xml:space="preserve">ROI Item</w:t>
            </w:r>
          </w:p>
        </w:tc>
        <w:tc>
          <w:tcPr>
            <w:tcW w:type="dxa" w:w="3744"/>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right"/>
            </w:pPr>
            <w:r>
              <w:rPr>
                <w:rFonts w:ascii="Arial" w:cs="Arial" w:eastAsia="Arial" w:hAnsi="Arial"/>
                <w:b/>
                <w:bCs/>
                <w:color w:val="FFFFFF"/>
                <w:sz w:val="18"/>
                <w:szCs w:val="18"/>
              </w:rPr>
              <w:t xml:space="preserve">Estimated Value</w:t>
            </w:r>
          </w:p>
        </w:tc>
      </w:tr>
      <w:tr>
        <w:tc>
          <w:tcPr>
            <w:tcW w:type="dxa" w:w="5616"/>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2"/>
                <w:szCs w:val="22"/>
              </w:rPr>
              <w:t xml:space="preserve">Confined space serious incident prevented (industry avg $750K–$2M)</w:t>
            </w:r>
          </w:p>
        </w:tc>
        <w:tc>
          <w:tcPr>
            <w:tcW w:type="dxa" w:w="3744"/>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right"/>
            </w:pPr>
            <w:r>
              <w:rPr>
                <w:rFonts w:ascii="Arial" w:cs="Arial" w:eastAsia="Arial" w:hAnsi="Arial"/>
                <w:b/>
                <w:bCs/>
                <w:color w:val="1E8449"/>
                <w:sz w:val="22"/>
                <w:szCs w:val="22"/>
              </w:rPr>
              <w:t xml:space="preserve">$750,000+</w:t>
            </w:r>
          </w:p>
        </w:tc>
      </w:tr>
      <w:tr>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22"/>
                <w:szCs w:val="22"/>
              </w:rPr>
              <w:t xml:space="preserve">OSHA audit: zero citations (prior year $42,000 in fines)</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right"/>
            </w:pPr>
            <w:r>
              <w:rPr>
                <w:rFonts w:ascii="Arial" w:cs="Arial" w:eastAsia="Arial" w:hAnsi="Arial"/>
                <w:b/>
                <w:bCs/>
                <w:color w:val="1E8449"/>
                <w:sz w:val="22"/>
                <w:szCs w:val="22"/>
              </w:rPr>
              <w:t xml:space="preserve">$42,000</w:t>
            </w:r>
          </w:p>
        </w:tc>
      </w:tr>
      <w:tr>
        <w:tc>
          <w:tcPr>
            <w:tcW w:type="dxa" w:w="5616"/>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left"/>
            </w:pPr>
            <w:r>
              <w:rPr>
                <w:rFonts w:ascii="Arial" w:cs="Arial" w:eastAsia="Arial" w:hAnsi="Arial"/>
                <w:b w:val="false"/>
                <w:bCs w:val="false"/>
                <w:color w:val="1C2833"/>
                <w:sz w:val="22"/>
                <w:szCs w:val="22"/>
              </w:rPr>
              <w:t xml:space="preserve">Avoided recordable incidents (estimated 3 × $65,000 industrial avg)</w:t>
            </w:r>
          </w:p>
        </w:tc>
        <w:tc>
          <w:tcPr>
            <w:tcW w:type="dxa" w:w="3744"/>
            <w:gridSpan w:val="1"/>
            <w:tcBorders>
              <w:top w:val="single" w:color="CCCCCC" w:sz="1"/>
              <w:left w:val="single" w:color="CCCCCC" w:sz="1"/>
              <w:bottom w:val="single" w:color="CCCCCC" w:sz="1"/>
              <w:right w:val="single" w:color="CCCCCC" w:sz="1"/>
            </w:tcBorders>
            <w:shd w:fill="F2F3F4" w:val="clear"/>
            <w:tcMar>
              <w:top w:type="dxa" w:w="80"/>
              <w:left w:type="dxa" w:w="150"/>
              <w:bottom w:type="dxa" w:w="80"/>
              <w:right w:type="dxa" w:w="150"/>
            </w:tcMar>
            <w:vAlign w:val="center"/>
          </w:tcPr>
          <w:p>
            <w:pPr>
              <w:jc w:val="right"/>
            </w:pPr>
            <w:r>
              <w:rPr>
                <w:rFonts w:ascii="Arial" w:cs="Arial" w:eastAsia="Arial" w:hAnsi="Arial"/>
                <w:b/>
                <w:bCs/>
                <w:color w:val="1E8449"/>
                <w:sz w:val="22"/>
                <w:szCs w:val="22"/>
              </w:rPr>
              <w:t xml:space="preserve">$195,000</w:t>
            </w:r>
          </w:p>
        </w:tc>
      </w:tr>
      <w:tr>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1C2833"/>
                <w:sz w:val="22"/>
                <w:szCs w:val="22"/>
              </w:rPr>
              <w:t xml:space="preserve">Safety staff time recovered from admin (120 hrs/month × 6 months)</w:t>
            </w:r>
          </w:p>
        </w:tc>
        <w:tc>
          <w:tcPr>
            <w:tcW w:type="dxa" w:w="3744"/>
            <w:gridSpan w:val="1"/>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right"/>
            </w:pPr>
            <w:r>
              <w:rPr>
                <w:rFonts w:ascii="Arial" w:cs="Arial" w:eastAsia="Arial" w:hAnsi="Arial"/>
                <w:b/>
                <w:bCs/>
                <w:color w:val="1E8449"/>
                <w:sz w:val="22"/>
                <w:szCs w:val="22"/>
              </w:rPr>
              <w:t xml:space="preserve">$34,560</w:t>
            </w:r>
          </w:p>
        </w:tc>
      </w:tr>
      <w:tr>
        <w:tc>
          <w:tcPr>
            <w:tcW w:type="dxa" w:w="5616"/>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left"/>
            </w:pPr>
            <w:r>
              <w:rPr>
                <w:rFonts w:ascii="Arial" w:cs="Arial" w:eastAsia="Arial" w:hAnsi="Arial"/>
                <w:b/>
                <w:bCs/>
                <w:color w:val="FFFFFF"/>
                <w:sz w:val="22"/>
                <w:szCs w:val="22"/>
              </w:rPr>
              <w:t xml:space="preserve">TOTAL ESTIMATED ROI (6 months)</w:t>
            </w:r>
          </w:p>
        </w:tc>
        <w:tc>
          <w:tcPr>
            <w:tcW w:type="dxa" w:w="3744"/>
            <w:gridSpan w:val="1"/>
            <w:tcBorders>
              <w:top w:val="single" w:color="CCCCCC" w:sz="1"/>
              <w:left w:val="single" w:color="CCCCCC" w:sz="1"/>
              <w:bottom w:val="single" w:color="CCCCCC" w:sz="1"/>
              <w:right w:val="single" w:color="CCCCCC" w:sz="1"/>
            </w:tcBorders>
            <w:shd w:fill="1A5276" w:val="clear"/>
            <w:tcMar>
              <w:top w:type="dxa" w:w="80"/>
              <w:left w:type="dxa" w:w="150"/>
              <w:bottom w:type="dxa" w:w="80"/>
              <w:right w:type="dxa" w:w="150"/>
            </w:tcMar>
            <w:vAlign w:val="center"/>
          </w:tcPr>
          <w:p>
            <w:pPr>
              <w:jc w:val="right"/>
            </w:pPr>
            <w:r>
              <w:rPr>
                <w:rFonts w:ascii="Arial" w:cs="Arial" w:eastAsia="Arial" w:hAnsi="Arial"/>
                <w:b/>
                <w:bCs/>
                <w:color w:val="FFFFFF"/>
                <w:sz w:val="22"/>
                <w:szCs w:val="22"/>
              </w:rPr>
              <w:t xml:space="preserve">$1,021,560+</w:t>
            </w:r>
          </w:p>
        </w:tc>
      </w:tr>
    </w:tbl>
    <w:p>
      <w:pPr>
        <w:spacing w:after="120"/>
      </w:pPr>
      <w:r>
        <w:t xml:space="preserve"/>
      </w:r>
    </w:p>
    <w:p>
      <w:pPr>
        <w:spacing w:after="120"/>
        <w:jc w:val="left"/>
      </w:pPr>
      <w:r>
        <w:rPr>
          <w:rFonts w:ascii="Arial" w:cs="Arial" w:eastAsia="Arial" w:hAnsi="Arial"/>
          <w:b/>
          <w:bCs/>
          <w:color w:val="1C2833"/>
          <w:sz w:val="22"/>
          <w:szCs w:val="22"/>
        </w:rPr>
        <w:t xml:space="preserve">SafePredict pilot cost: $9,030 ($1,505/month × 6 months)</w:t>
      </w:r>
    </w:p>
    <w:p>
      <w:pPr>
        <w:spacing w:after="120"/>
        <w:jc w:val="left"/>
      </w:pPr>
      <w:r>
        <w:rPr>
          <w:rFonts w:ascii="Arial" w:cs="Arial" w:eastAsia="Arial" w:hAnsi="Arial"/>
          <w:b/>
          <w:bCs/>
          <w:color w:val="1E8449"/>
          <w:sz w:val="22"/>
          <w:szCs w:val="22"/>
        </w:rPr>
        <w:t xml:space="preserve">Net return: $1,012,530+   |   Return on Investment: 11,212%+</w:t>
      </w:r>
    </w:p>
    <w:p>
      <w:pPr>
        <w:spacing w:after="120"/>
      </w:pPr>
      <w:r>
        <w:t xml:space="preserve"/>
      </w:r>
    </w:p>
    <w:p>
      <w:pPr>
        <w:pStyle w:val="Heading1"/>
        <w:spacing w:after="160" w:before="300"/>
      </w:pPr>
      <w:r>
        <w:rPr>
          <w:rFonts w:ascii="Arial" w:cs="Arial" w:eastAsia="Arial" w:hAnsi="Arial"/>
          <w:b/>
          <w:bCs/>
          <w:color w:val="1A5276"/>
          <w:sz w:val="32"/>
          <w:szCs w:val="32"/>
        </w:rPr>
        <w:t xml:space="preserve">Key Takeaways</w:t>
      </w:r>
    </w:p>
    <w:p>
      <w:pPr>
        <w:pBdr>
          <w:bottom w:val="single" w:color="2E86C1" w:sz="6" w:space="1"/>
        </w:pBdr>
        <w:spacing w:after="120"/>
      </w:pPr>
    </w:p>
    <w:p>
      <w:pPr>
        <w:pStyle w:val="ListParagraph"/>
        <w:numPr>
          <w:ilvl w:val="0"/>
          <w:numId w:val="2"/>
        </w:numPr>
        <w:spacing w:after="100"/>
      </w:pPr>
      <w:r>
        <w:rPr>
          <w:rFonts w:ascii="Arial" w:cs="Arial" w:eastAsia="Arial" w:hAnsi="Arial"/>
          <w:sz w:val="22"/>
          <w:szCs w:val="22"/>
        </w:rPr>
        <w:t xml:space="preserve">Permit compliance is where industrial safety lives or dies: the jump from 68% to 96% on high-consequence work permits eliminates the most probable cause of a fatality on IronBridge sites.</w:t>
      </w:r>
    </w:p>
    <w:p>
      <w:pPr>
        <w:pStyle w:val="ListParagraph"/>
        <w:numPr>
          <w:ilvl w:val="0"/>
          <w:numId w:val="2"/>
        </w:numPr>
        <w:spacing w:after="100"/>
      </w:pPr>
      <w:r>
        <w:rPr>
          <w:rFonts w:ascii="Arial" w:cs="Arial" w:eastAsia="Arial" w:hAnsi="Arial"/>
          <w:sz w:val="22"/>
          <w:szCs w:val="22"/>
        </w:rPr>
        <w:t xml:space="preserve">Predictive AI is not a buzzword for industrial work: Gus's real-time monitoring of permit checklist data — flagging the gap before the crew entered — is the exact capability that separates SafePredict from passive documentation tools.</w:t>
      </w:r>
    </w:p>
    <w:p>
      <w:pPr>
        <w:pStyle w:val="ListParagraph"/>
        <w:numPr>
          <w:ilvl w:val="0"/>
          <w:numId w:val="2"/>
        </w:numPr>
        <w:spacing w:after="240"/>
      </w:pPr>
      <w:r>
        <w:rPr>
          <w:rFonts w:ascii="Arial" w:cs="Arial" w:eastAsia="Arial" w:hAnsi="Arial"/>
          <w:sz w:val="22"/>
          <w:szCs w:val="22"/>
        </w:rPr>
        <w:t xml:space="preserve">Clean OSHA audits have compounding value: zero citations builds a good-faith compliance record that materially affects how OSHA treats any future incidents.</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jc w:val="center"/>
    </w:pPr>
    <w:r>
      <w:rPr>
        <w:rFonts w:ascii="Arial" w:cs="Arial" w:eastAsia="Arial" w:hAnsi="Arial"/>
        <w:color w:val="5D6D7E"/>
        <w:sz w:val="18"/>
        <w:szCs w:val="18"/>
      </w:rPr>
      <w:t xml:space="preserve">CONFIDENTIAL  |  SafePredict Pilot Data  |  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spacing w:after="80"/>
    </w:pPr>
    <w:r>
      <w:rPr>
        <w:rFonts w:ascii="Arial" w:cs="Arial" w:eastAsia="Arial" w:hAnsi="Arial"/>
        <w:b/>
        <w:bCs/>
        <w:color w:val="1A5276"/>
        <w:sz w:val="18"/>
        <w:szCs w:val="18"/>
      </w:rPr>
      <w:t xml:space="preserve">SafePredict </w:t>
    </w:r>
    <w:r>
      <w:rPr>
        <w:rFonts w:ascii="Arial" w:cs="Arial" w:eastAsia="Arial" w:hAnsi="Arial"/>
        <w:color w:val="5D6D7E"/>
        <w:sz w:val="18"/>
        <w:szCs w:val="18"/>
      </w:rPr>
      <w:t xml:space="preserve">| IronBridge Industrial — 6-Month Pilot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2026-06-03T22:52:09.843Z</dcterms:created>
  <dcterms:modified xsi:type="dcterms:W3CDTF">2026-06-03T22:52:09.843Z</dcterms:modified>
</cp:coreProperties>
</file>

<file path=docProps/custom.xml><?xml version="1.0" encoding="utf-8"?>
<Properties xmlns="http://schemas.openxmlformats.org/officeDocument/2006/custom-properties" xmlns:vt="http://schemas.openxmlformats.org/officeDocument/2006/docPropsVTypes"/>
</file>