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Incident Collaborative Map</w:t>
        <w:br/>
      </w:r>
      <w:r>
        <w:rPr>
          <w:i/>
          <w:color w:val="666666"/>
          <w:sz w:val="24"/>
        </w:rPr>
        <w:t>Codex-ready product, architecture, and implementation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4032"/>
      </w:tblGrid>
      <w:tr>
        <w:tc>
          <w:tcPr>
            <w:tcW w:type="dxa" w:w="5040"/>
            <w:shd w:fill="FFF7D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  <w:p>
            <w:r>
              <w:t>Define a rebuild-ready specification for a production web application based only on the supplied UI shell, extracted PowerApps metadata, and legacy source artifacts.</w:t>
            </w:r>
          </w:p>
        </w:tc>
        <w:tc>
          <w:tcPr>
            <w:tcW w:type="dxa" w:w="5040"/>
            <w:shd w:fill="F8F8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Source basis</w:t>
            </w:r>
          </w:p>
          <w:p>
            <w:r>
              <w:t>• index.html UI shell</w:t>
              <w:br/>
              <w:t>• PowerApps metadata</w:t>
              <w:br/>
              <w:t>• Extracted legacy scenario app source</w:t>
              <w:br/>
              <w:t>• Extracted brand assets</w:t>
            </w:r>
          </w:p>
        </w:tc>
      </w:tr>
    </w:tbl>
    <w:p/>
    <w:p>
      <w:pPr>
        <w:pStyle w:val="Heading1"/>
      </w:pPr>
      <w:r>
        <w:t>1. Scope and framing</w:t>
      </w:r>
    </w:p>
    <w:p>
      <w:r>
        <w:t>This specification separates confirmed current product surfaces from recommended production architecture. Confirmed items are those explicitly visible in the supplied materials. Recommended items are implementation guidance intended for a modern web rebuild and developer handoff.</w:t>
      </w:r>
    </w:p>
    <w:p>
      <w:pPr>
        <w:pStyle w:val="Heading1"/>
      </w:pPr>
      <w:r>
        <w:t>2. Confirmed product surfaces from the provided materials</w:t>
      </w:r>
    </w:p>
    <w:p>
      <w:r>
        <w:t>The supplied HTML shell shows a complete live-session workspace with owner controls, a landing workspace for session creation/join, a weather panel, a cost summary panel, selected-object editing, an isolation tool, playback controls, export modals, attachment/image handling, ICS 202 and ICS 207 workspaces, plus super-admin and department-admin surfaces. The extracted PowerApps materials show legacy scenario entities named GeoSims, GeoTrackings, and GeoSim Scenarios, along with training-oriented flows for creating, editing, listing, and watching scenarios.</w:t>
      </w:r>
    </w:p>
    <w:p>
      <w:pPr>
        <w:pStyle w:val="Heading1"/>
      </w:pPr>
      <w:r>
        <w:t>3. Product goals for a production rebuild</w:t>
      </w:r>
    </w:p>
    <w:p>
      <w:pPr>
        <w:pStyle w:val="ListBullet"/>
      </w:pPr>
      <w:r>
        <w:t>Provide a single shared operational picture for incident response teams.</w:t>
      </w:r>
    </w:p>
    <w:p>
      <w:pPr>
        <w:pStyle w:val="ListBullet"/>
      </w:pPr>
      <w:r>
        <w:t>Support live multi-user collaboration with role-aware permissions.</w:t>
      </w:r>
    </w:p>
    <w:p>
      <w:pPr>
        <w:pStyle w:val="ListBullet"/>
      </w:pPr>
      <w:r>
        <w:t>Treat geometry, icons, attachments, cost items, and playback events as first-class objects.</w:t>
      </w:r>
    </w:p>
    <w:p>
      <w:pPr>
        <w:pStyle w:val="ListBullet"/>
      </w:pPr>
      <w:r>
        <w:t>Make the same session useful during planning, live incident command, training, and after-action review.</w:t>
      </w:r>
    </w:p>
    <w:p>
      <w:pPr>
        <w:pStyle w:val="ListBullet"/>
      </w:pPr>
      <w:r>
        <w:t>Retain integrated ICS workspaces rather than relegating them to external documents.</w:t>
      </w:r>
    </w:p>
    <w:p>
      <w:pPr>
        <w:pStyle w:val="Heading1"/>
      </w:pPr>
      <w:r>
        <w:t>4. Recommended system architecture</w:t>
      </w:r>
    </w:p>
    <w:p>
      <w:r>
        <w:t>The recommended production architecture is a web client plus API layer plus realtime channel plus durable storage. Weather remains an external dependency. Export generation can be initiated client-side, server-side, or hybrid depending on scale and fidelity requirements.</w:t>
      </w:r>
    </w:p>
    <w:p>
      <w:r>
        <w:drawing>
          <wp:inline xmlns:a="http://schemas.openxmlformats.org/drawingml/2006/main" xmlns:pic="http://schemas.openxmlformats.org/drawingml/2006/picture">
            <wp:extent cx="6309360" cy="3645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Architecture notes: the current HTML shell implies a stateful client UI with modal workflows and a shared session concept; the production version should formalize that into explicit services for sessions, objects, playback events, documents, and org access.</w:t>
      </w:r>
    </w:p>
    <w:p>
      <w:pPr>
        <w:pStyle w:val="Heading1"/>
      </w:pPr>
      <w:r>
        <w:t>5. UX surface map</w:t>
      </w:r>
    </w:p>
    <w:p>
      <w:r>
        <w:t>The UI is best understood as three primary surfaces: the landing workspace, the live collaborative map, and companion workspaces. The production rebuild should preserve that mental model.</w:t>
      </w:r>
    </w:p>
    <w:p>
      <w:r>
        <w:drawing>
          <wp:inline xmlns:a="http://schemas.openxmlformats.org/drawingml/2006/main" xmlns:pic="http://schemas.openxmlformats.org/drawingml/2006/picture">
            <wp:extent cx="6035040" cy="3175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35040" cy="2583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222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sp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2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Core user journeys</w:t>
      </w:r>
    </w:p>
    <w:p>
      <w:pPr>
        <w:pStyle w:val="Heading2"/>
      </w:pPr>
      <w:r>
        <w:t>Session/auth lifecycle</w:t>
      </w:r>
    </w:p>
    <w:p>
      <w:r>
        <w:drawing>
          <wp:inline xmlns:a="http://schemas.openxmlformats.org/drawingml/2006/main" xmlns:pic="http://schemas.openxmlformats.org/drawingml/2006/picture">
            <wp:extent cx="5303520" cy="13628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Map authoring lifecycle</w:t>
      </w:r>
    </w:p>
    <w:p>
      <w:r>
        <w:drawing>
          <wp:inline xmlns:a="http://schemas.openxmlformats.org/drawingml/2006/main" xmlns:pic="http://schemas.openxmlformats.org/drawingml/2006/picture">
            <wp:extent cx="5303520" cy="292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th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Cost tracking lifecycle</w:t>
      </w:r>
    </w:p>
    <w:p>
      <w:r>
        <w:drawing>
          <wp:inline xmlns:a="http://schemas.openxmlformats.org/drawingml/2006/main" xmlns:pic="http://schemas.openxmlformats.org/drawingml/2006/picture">
            <wp:extent cx="3749039" cy="5959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95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Playback lifecycle</w:t>
      </w:r>
    </w:p>
    <w:p>
      <w:r>
        <w:drawing>
          <wp:inline xmlns:a="http://schemas.openxmlformats.org/drawingml/2006/main" xmlns:pic="http://schemas.openxmlformats.org/drawingml/2006/picture">
            <wp:extent cx="5303520" cy="530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lay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ICS/admin companion flows</w:t>
      </w:r>
    </w:p>
    <w:p>
      <w:r>
        <w:drawing>
          <wp:inline xmlns:a="http://schemas.openxmlformats.org/drawingml/2006/main" xmlns:pic="http://schemas.openxmlformats.org/drawingml/2006/picture">
            <wp:extent cx="5303520" cy="2079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dmin_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Domain model and schema recommendation</w:t>
      </w:r>
    </w:p>
    <w:p>
      <w:r>
        <w:t>The legacy data sources point to GeoSims, GeoTrackings, and GeoSim Scenarios. For a production rebuild, those should be normalized into a session-centric domain model that separates persistent sessions from transient participants, spatial objects, attachments, cost items, events, and generated documents.</w:t>
      </w:r>
    </w:p>
    <w:p>
      <w:r>
        <w:drawing>
          <wp:inline xmlns:a="http://schemas.openxmlformats.org/drawingml/2006/main" xmlns:pic="http://schemas.openxmlformats.org/drawingml/2006/picture">
            <wp:extent cx="6126480" cy="2656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Recommended entity guidance:</w:t>
      </w:r>
    </w:p>
    <w:p>
      <w:pPr>
        <w:pStyle w:val="ListBullet"/>
      </w:pPr>
      <w:r>
        <w:t>Department: tenant-like org boundary with seat limits and license status.</w:t>
      </w:r>
    </w:p>
    <w:p>
      <w:pPr>
        <w:pStyle w:val="ListBullet"/>
      </w:pPr>
      <w:r>
        <w:t>User: identity and organization membership.</w:t>
      </w:r>
    </w:p>
    <w:p>
      <w:pPr>
        <w:pStyle w:val="ListBullet"/>
      </w:pPr>
      <w:r>
        <w:t>Session: top-level incident container with owner, operational period, status, and viewer access.</w:t>
      </w:r>
    </w:p>
    <w:p>
      <w:pPr>
        <w:pStyle w:val="ListBullet"/>
      </w:pPr>
      <w:r>
        <w:t>SessionParticipant: active or historical presence within a session, including permission and ICS role.</w:t>
      </w:r>
    </w:p>
    <w:p>
      <w:pPr>
        <w:pStyle w:val="ListBullet"/>
      </w:pPr>
      <w:r>
        <w:t>MapObject: spatial entity with type, geometry, palette key, label, metadata, timestamps, and soft-delete capability.</w:t>
      </w:r>
    </w:p>
    <w:p>
      <w:pPr>
        <w:pStyle w:val="ListBullet"/>
      </w:pPr>
      <w:r>
        <w:t>Attachment: image or file either session-level or attached to a specific object.</w:t>
      </w:r>
    </w:p>
    <w:p>
      <w:pPr>
        <w:pStyle w:val="ListBullet"/>
      </w:pPr>
      <w:r>
        <w:t>CostItem: cost extension for a placed object so accounting data is additive rather than overloading the base object.</w:t>
      </w:r>
    </w:p>
    <w:p>
      <w:pPr>
        <w:pStyle w:val="ListBullet"/>
      </w:pPr>
      <w:r>
        <w:t>PlaybackEvent: immutable event stream used for replay, audit, and state reconstruction.</w:t>
      </w:r>
    </w:p>
    <w:p>
      <w:pPr>
        <w:pStyle w:val="ListBullet"/>
      </w:pPr>
      <w:r>
        <w:t>SessionDocument: persisted ICS form or export payload.</w:t>
      </w:r>
    </w:p>
    <w:p>
      <w:pPr>
        <w:pStyle w:val="Heading1"/>
      </w:pPr>
      <w:r>
        <w:t>8. Object model details</w:t>
      </w:r>
    </w:p>
    <w:p>
      <w:r>
        <w:t>Each map object should be represented as a common envelope plus typed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F7D7"/>
          </w:tcPr>
          <w:p>
            <w:r>
              <w:rPr>
                <w:b/>
              </w:rPr>
              <w:t>Field group</w:t>
            </w:r>
          </w:p>
        </w:tc>
        <w:tc>
          <w:tcPr>
            <w:tcW w:type="dxa" w:w="3360"/>
            <w:shd w:fill="FFF7D7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3360"/>
            <w:shd w:fill="FFF7D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t>Envelope</w:t>
            </w:r>
          </w:p>
        </w:tc>
        <w:tc>
          <w:tcPr>
            <w:tcW w:type="dxa" w:w="3360"/>
          </w:tcPr>
          <w:p>
            <w:r>
              <w:t>object_id, session_id, type, geometry, placed_at, updated_at</w:t>
            </w:r>
          </w:p>
        </w:tc>
        <w:tc>
          <w:tcPr>
            <w:tcW w:type="dxa" w:w="3360"/>
          </w:tcPr>
          <w:p>
            <w:r>
              <w:t>Applies to every object, including points, polygons, notes, isolation zones, and attachments-as-markers if supported.</w:t>
            </w:r>
          </w:p>
        </w:tc>
      </w:tr>
      <w:tr>
        <w:tc>
          <w:tcPr>
            <w:tcW w:type="dxa" w:w="3360"/>
          </w:tcPr>
          <w:p>
            <w:r>
              <w:t>Display fields</w:t>
            </w:r>
          </w:p>
        </w:tc>
        <w:tc>
          <w:tcPr>
            <w:tcW w:type="dxa" w:w="3360"/>
          </w:tcPr>
          <w:p>
            <w:r>
              <w:t>display_label, palette_key, icon_key, color, visibility</w:t>
            </w:r>
          </w:p>
        </w:tc>
        <w:tc>
          <w:tcPr>
            <w:tcW w:type="dxa" w:w="3360"/>
          </w:tcPr>
          <w:p>
            <w:r>
              <w:t>Keep these separate from operational metadata for UI flexibility.</w:t>
            </w:r>
          </w:p>
        </w:tc>
      </w:tr>
      <w:tr>
        <w:tc>
          <w:tcPr>
            <w:tcW w:type="dxa" w:w="3360"/>
          </w:tcPr>
          <w:p>
            <w:r>
              <w:t>Operational metadata</w:t>
            </w:r>
          </w:p>
        </w:tc>
        <w:tc>
          <w:tcPr>
            <w:tcW w:type="dxa" w:w="3360"/>
          </w:tcPr>
          <w:p>
            <w:r>
              <w:t>status, owner_role, notes, hazard/resource attributes</w:t>
            </w:r>
          </w:p>
        </w:tc>
        <w:tc>
          <w:tcPr>
            <w:tcW w:type="dxa" w:w="3360"/>
          </w:tcPr>
          <w:p>
            <w:r>
              <w:t>Stored as structured JSON or typed columns depending on reporting needs.</w:t>
            </w:r>
          </w:p>
        </w:tc>
      </w:tr>
      <w:tr>
        <w:tc>
          <w:tcPr>
            <w:tcW w:type="dxa" w:w="3360"/>
          </w:tcPr>
          <w:p>
            <w:r>
              <w:t>Audit</w:t>
            </w:r>
          </w:p>
        </w:tc>
        <w:tc>
          <w:tcPr>
            <w:tcW w:type="dxa" w:w="3360"/>
          </w:tcPr>
          <w:p>
            <w:r>
              <w:t>created_by, updated_by, removed_at</w:t>
            </w:r>
          </w:p>
        </w:tc>
        <w:tc>
          <w:tcPr>
            <w:tcW w:type="dxa" w:w="3360"/>
          </w:tcPr>
          <w:p>
            <w:r>
              <w:t>Soft delete supports playback and accountability.</w:t>
            </w:r>
          </w:p>
        </w:tc>
      </w:tr>
      <w:tr>
        <w:tc>
          <w:tcPr>
            <w:tcW w:type="dxa" w:w="3360"/>
          </w:tcPr>
          <w:p>
            <w:r>
              <w:t>Cost extension</w:t>
            </w:r>
          </w:p>
        </w:tc>
        <w:tc>
          <w:tcPr>
            <w:tcW w:type="dxa" w:w="3360"/>
          </w:tcPr>
          <w:p>
            <w:r>
              <w:t>cost_item_id or cost metadata link</w:t>
            </w:r>
          </w:p>
        </w:tc>
        <w:tc>
          <w:tcPr>
            <w:tcW w:type="dxa" w:w="3360"/>
          </w:tcPr>
          <w:p>
            <w:r>
              <w:t>Do not overload every object with cost columns if most objects are not costed.</w:t>
            </w:r>
          </w:p>
        </w:tc>
      </w:tr>
    </w:tbl>
    <w:p>
      <w:pPr>
        <w:pStyle w:val="Heading1"/>
      </w:pPr>
      <w:r>
        <w:t>9. Recommended API surface</w:t>
      </w:r>
    </w:p>
    <w:p>
      <w:r>
        <w:t>The HTML shell does not define API contracts. The following endpoints are recommended to formalize the implied behaviors.</w:t>
      </w:r>
    </w:p>
    <w:p>
      <w:pPr>
        <w:pStyle w:val="ListBullet"/>
      </w:pPr>
      <w:r>
        <w:rPr>
          <w:b/>
        </w:rPr>
        <w:t xml:space="preserve">POST /sessions — </w:t>
      </w:r>
      <w:r>
        <w:t>Create a session with incident name, op period, owner context, and guided mode flag.</w:t>
      </w:r>
    </w:p>
    <w:p>
      <w:pPr>
        <w:pStyle w:val="ListBullet"/>
      </w:pPr>
      <w:r>
        <w:rPr>
          <w:b/>
        </w:rPr>
        <w:t xml:space="preserve">POST /sessions/{id}/join — </w:t>
      </w:r>
      <w:r>
        <w:t>Join as operator or observer with display name and role.</w:t>
      </w:r>
    </w:p>
    <w:p>
      <w:pPr>
        <w:pStyle w:val="ListBullet"/>
      </w:pPr>
      <w:r>
        <w:rPr>
          <w:b/>
        </w:rPr>
        <w:t xml:space="preserve">PATCH /sessions/{id} — </w:t>
      </w:r>
      <w:r>
        <w:t>Update period, incident commander assignment, viewer access, or session status.</w:t>
      </w:r>
    </w:p>
    <w:p>
      <w:pPr>
        <w:pStyle w:val="ListBullet"/>
      </w:pPr>
      <w:r>
        <w:rPr>
          <w:b/>
        </w:rPr>
        <w:t xml:space="preserve">POST /sessions/{id}/objects — </w:t>
      </w:r>
      <w:r>
        <w:t>Create spatial object.</w:t>
      </w:r>
    </w:p>
    <w:p>
      <w:pPr>
        <w:pStyle w:val="ListBullet"/>
      </w:pPr>
      <w:r>
        <w:rPr>
          <w:b/>
        </w:rPr>
        <w:t xml:space="preserve">PATCH /sessions/{id}/objects/{objectId} — </w:t>
      </w:r>
      <w:r>
        <w:t>Update label, geometry, or metadata.</w:t>
      </w:r>
    </w:p>
    <w:p>
      <w:pPr>
        <w:pStyle w:val="ListBullet"/>
      </w:pPr>
      <w:r>
        <w:rPr>
          <w:b/>
        </w:rPr>
        <w:t xml:space="preserve">DELETE /sessions/{id}/objects/{objectId} — </w:t>
      </w:r>
      <w:r>
        <w:t>Soft-delete object and emit replay event.</w:t>
      </w:r>
    </w:p>
    <w:p>
      <w:pPr>
        <w:pStyle w:val="ListBullet"/>
      </w:pPr>
      <w:r>
        <w:rPr>
          <w:b/>
        </w:rPr>
        <w:t xml:space="preserve">POST /sessions/{id}/objects/{objectId}/cost — </w:t>
      </w:r>
      <w:r>
        <w:t>Create or update cost extension.</w:t>
      </w:r>
    </w:p>
    <w:p>
      <w:pPr>
        <w:pStyle w:val="ListBullet"/>
      </w:pPr>
      <w:r>
        <w:rPr>
          <w:b/>
        </w:rPr>
        <w:t xml:space="preserve">POST /sessions/{id}/attachments — </w:t>
      </w:r>
      <w:r>
        <w:t>Upload session or object attachment.</w:t>
      </w:r>
    </w:p>
    <w:p>
      <w:pPr>
        <w:pStyle w:val="ListBullet"/>
      </w:pPr>
      <w:r>
        <w:rPr>
          <w:b/>
        </w:rPr>
        <w:t xml:space="preserve">GET /sessions/{id}/events — </w:t>
      </w:r>
      <w:r>
        <w:t>Read ordered event stream for playback.</w:t>
      </w:r>
    </w:p>
    <w:p>
      <w:pPr>
        <w:pStyle w:val="ListBullet"/>
      </w:pPr>
      <w:r>
        <w:rPr>
          <w:b/>
        </w:rPr>
        <w:t xml:space="preserve">POST /sessions/{id}/documents/ics202 — </w:t>
      </w:r>
      <w:r>
        <w:t>Save ICS 202 payload.</w:t>
      </w:r>
    </w:p>
    <w:p>
      <w:pPr>
        <w:pStyle w:val="ListBullet"/>
      </w:pPr>
      <w:r>
        <w:rPr>
          <w:b/>
        </w:rPr>
        <w:t xml:space="preserve">POST /sessions/{id}/documents/ics207 — </w:t>
      </w:r>
      <w:r>
        <w:t>Save ICS 207 payload.</w:t>
      </w:r>
    </w:p>
    <w:p>
      <w:pPr>
        <w:pStyle w:val="ListBullet"/>
      </w:pPr>
      <w:r>
        <w:rPr>
          <w:b/>
        </w:rPr>
        <w:t xml:space="preserve">POST /sessions/{id}/exports — </w:t>
      </w:r>
      <w:r>
        <w:t>Generate export job for map, cost, or ICS output.</w:t>
      </w:r>
    </w:p>
    <w:p>
      <w:pPr>
        <w:pStyle w:val="Heading1"/>
      </w:pPr>
      <w:r>
        <w:t>10. Realtime event contract</w:t>
      </w:r>
    </w:p>
    <w:p>
      <w:r>
        <w:t>The session workspace implies collaborative updates and replay. The cleanest approach is to standardize every meaningful change as an append-only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7D7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5040"/>
            <w:shd w:fill="FFF7D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SESSION_CREATED</w:t>
            </w:r>
          </w:p>
        </w:tc>
        <w:tc>
          <w:tcPr>
            <w:tcW w:type="dxa" w:w="5040"/>
          </w:tcPr>
          <w:p>
            <w:r>
              <w:t>Initial session record</w:t>
            </w:r>
          </w:p>
        </w:tc>
      </w:tr>
      <w:tr>
        <w:tc>
          <w:tcPr>
            <w:tcW w:type="dxa" w:w="5040"/>
          </w:tcPr>
          <w:p>
            <w:r>
              <w:t>PARTICIPANT_JOINED</w:t>
            </w:r>
          </w:p>
        </w:tc>
        <w:tc>
          <w:tcPr>
            <w:tcW w:type="dxa" w:w="5040"/>
          </w:tcPr>
          <w:p>
            <w:r>
              <w:t>Operator or observer presence</w:t>
            </w:r>
          </w:p>
        </w:tc>
      </w:tr>
      <w:tr>
        <w:tc>
          <w:tcPr>
            <w:tcW w:type="dxa" w:w="5040"/>
          </w:tcPr>
          <w:p>
            <w:r>
              <w:t>PARTICIPANT_LEFT</w:t>
            </w:r>
          </w:p>
        </w:tc>
        <w:tc>
          <w:tcPr>
            <w:tcW w:type="dxa" w:w="5040"/>
          </w:tcPr>
          <w:p>
            <w:r>
              <w:t>Presence end</w:t>
            </w:r>
          </w:p>
        </w:tc>
      </w:tr>
      <w:tr>
        <w:tc>
          <w:tcPr>
            <w:tcW w:type="dxa" w:w="5040"/>
          </w:tcPr>
          <w:p>
            <w:r>
              <w:t>SESSION_UPDATED</w:t>
            </w:r>
          </w:p>
        </w:tc>
        <w:tc>
          <w:tcPr>
            <w:tcW w:type="dxa" w:w="5040"/>
          </w:tcPr>
          <w:p>
            <w:r>
              <w:t>Period, IC, viewer access, or status changed</w:t>
            </w:r>
          </w:p>
        </w:tc>
      </w:tr>
      <w:tr>
        <w:tc>
          <w:tcPr>
            <w:tcW w:type="dxa" w:w="5040"/>
          </w:tcPr>
          <w:p>
            <w:r>
              <w:t>OBJECT_CREATED</w:t>
            </w:r>
          </w:p>
        </w:tc>
        <w:tc>
          <w:tcPr>
            <w:tcW w:type="dxa" w:w="5040"/>
          </w:tcPr>
          <w:p>
            <w:r>
              <w:t>New geometry or icon</w:t>
            </w:r>
          </w:p>
        </w:tc>
      </w:tr>
      <w:tr>
        <w:tc>
          <w:tcPr>
            <w:tcW w:type="dxa" w:w="5040"/>
          </w:tcPr>
          <w:p>
            <w:r>
              <w:t>OBJECT_UPDATED</w:t>
            </w:r>
          </w:p>
        </w:tc>
        <w:tc>
          <w:tcPr>
            <w:tcW w:type="dxa" w:w="5040"/>
          </w:tcPr>
          <w:p>
            <w:r>
              <w:t>Fields or geometry changed</w:t>
            </w:r>
          </w:p>
        </w:tc>
      </w:tr>
      <w:tr>
        <w:tc>
          <w:tcPr>
            <w:tcW w:type="dxa" w:w="5040"/>
          </w:tcPr>
          <w:p>
            <w:r>
              <w:t>OBJECT_REMOVED</w:t>
            </w:r>
          </w:p>
        </w:tc>
        <w:tc>
          <w:tcPr>
            <w:tcW w:type="dxa" w:w="5040"/>
          </w:tcPr>
          <w:p>
            <w:r>
              <w:t>Soft delete</w:t>
            </w:r>
          </w:p>
        </w:tc>
      </w:tr>
      <w:tr>
        <w:tc>
          <w:tcPr>
            <w:tcW w:type="dxa" w:w="5040"/>
          </w:tcPr>
          <w:p>
            <w:r>
              <w:t>ATTACHMENT_ADDED</w:t>
            </w:r>
          </w:p>
        </w:tc>
        <w:tc>
          <w:tcPr>
            <w:tcW w:type="dxa" w:w="5040"/>
          </w:tcPr>
          <w:p>
            <w:r>
              <w:t>Image/file added</w:t>
            </w:r>
          </w:p>
        </w:tc>
      </w:tr>
      <w:tr>
        <w:tc>
          <w:tcPr>
            <w:tcW w:type="dxa" w:w="5040"/>
          </w:tcPr>
          <w:p>
            <w:r>
              <w:t>ATTACHMENT_REMOVED</w:t>
            </w:r>
          </w:p>
        </w:tc>
        <w:tc>
          <w:tcPr>
            <w:tcW w:type="dxa" w:w="5040"/>
          </w:tcPr>
          <w:p>
            <w:r>
              <w:t>Attachment deleted</w:t>
            </w:r>
          </w:p>
        </w:tc>
      </w:tr>
      <w:tr>
        <w:tc>
          <w:tcPr>
            <w:tcW w:type="dxa" w:w="5040"/>
          </w:tcPr>
          <w:p>
            <w:r>
              <w:t>COST_CREATED_OR_UPDATED</w:t>
            </w:r>
          </w:p>
        </w:tc>
        <w:tc>
          <w:tcPr>
            <w:tcW w:type="dxa" w:w="5040"/>
          </w:tcPr>
          <w:p>
            <w:r>
              <w:t>Cost mutation for object</w:t>
            </w:r>
          </w:p>
        </w:tc>
      </w:tr>
      <w:tr>
        <w:tc>
          <w:tcPr>
            <w:tcW w:type="dxa" w:w="5040"/>
          </w:tcPr>
          <w:p>
            <w:r>
              <w:t>DOCUMENT_SAVED</w:t>
            </w:r>
          </w:p>
        </w:tc>
        <w:tc>
          <w:tcPr>
            <w:tcW w:type="dxa" w:w="5040"/>
          </w:tcPr>
          <w:p>
            <w:r>
              <w:t>ICS 202/207 saved</w:t>
            </w:r>
          </w:p>
        </w:tc>
      </w:tr>
      <w:tr>
        <w:tc>
          <w:tcPr>
            <w:tcW w:type="dxa" w:w="5040"/>
          </w:tcPr>
          <w:p>
            <w:r>
              <w:t>EXPORT_GENERATED</w:t>
            </w:r>
          </w:p>
        </w:tc>
        <w:tc>
          <w:tcPr>
            <w:tcW w:type="dxa" w:w="5040"/>
          </w:tcPr>
          <w:p>
            <w:r>
              <w:t>Artifact produced</w:t>
            </w:r>
          </w:p>
        </w:tc>
      </w:tr>
    </w:tbl>
    <w:p>
      <w:pPr>
        <w:pStyle w:val="Heading1"/>
      </w:pPr>
      <w:r>
        <w:t>11. Permissions model</w:t>
      </w:r>
    </w:p>
    <w:p>
      <w:pPr>
        <w:pStyle w:val="ListBullet"/>
      </w:pPr>
      <w:r>
        <w:t>Owner: full session control, session lifecycle, viewer access, export control, and admin surfaces where authorized.</w:t>
      </w:r>
    </w:p>
    <w:p>
      <w:pPr>
        <w:pStyle w:val="ListBullet"/>
      </w:pPr>
      <w:r>
        <w:t>Operator: create and update objects, contribute to cost and forms where permitted, no session ownership actions by default.</w:t>
      </w:r>
    </w:p>
    <w:p>
      <w:pPr>
        <w:pStyle w:val="ListBullet"/>
      </w:pPr>
      <w:r>
        <w:t>Observer: read-only map view and object inspection only.</w:t>
      </w:r>
    </w:p>
    <w:p>
      <w:pPr>
        <w:pStyle w:val="ListBullet"/>
      </w:pPr>
      <w:r>
        <w:t>Department admin: roster and seat administration inside a department boundary.</w:t>
      </w:r>
    </w:p>
    <w:p>
      <w:pPr>
        <w:pStyle w:val="ListBullet"/>
      </w:pPr>
      <w:r>
        <w:t>Super admin: global department, seat, user, and mutual-aid/standing access management.</w:t>
      </w:r>
    </w:p>
    <w:p>
      <w:r>
        <w:t>Recommendation: implement capability-based permissions rather than only role strings so the product can later support finer-grained rights such as export-only, forms-only, or playback-only users.</w:t>
      </w:r>
    </w:p>
    <w:p>
      <w:pPr>
        <w:pStyle w:val="Heading1"/>
      </w:pPr>
      <w:r>
        <w:t>12. Client architecture recommendation</w:t>
      </w:r>
    </w:p>
    <w:p>
      <w:pPr>
        <w:pStyle w:val="ListBullet"/>
      </w:pPr>
      <w:r>
        <w:t>Framework: React or Next.js web app with componentized workspace panels and modal manager.</w:t>
      </w:r>
    </w:p>
    <w:p>
      <w:pPr>
        <w:pStyle w:val="ListBullet"/>
      </w:pPr>
      <w:r>
        <w:t>Map: Leaflet is already visible in the HTML shell and can be retained, though Mapbox GL or ArcGIS JS could also be evaluated if vector-heavy workflows expand.</w:t>
      </w:r>
    </w:p>
    <w:p>
      <w:pPr>
        <w:pStyle w:val="ListBullet"/>
      </w:pPr>
      <w:r>
        <w:t>State management: normalized client store with separate slices for session, participants, objects, costs, playback, weather, and UI.</w:t>
      </w:r>
    </w:p>
    <w:p>
      <w:pPr>
        <w:pStyle w:val="ListBullet"/>
      </w:pPr>
      <w:r>
        <w:t>Sync strategy: optimistic local mutation + server acknowledgement + conflict resolution policy for same-object edits.</w:t>
      </w:r>
    </w:p>
    <w:p>
      <w:pPr>
        <w:pStyle w:val="ListBullet"/>
      </w:pPr>
      <w:r>
        <w:t>Document generation: dedicated printable layouts for map, cost summary, ICS 202, and ICS 207.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7D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  <w:shd w:fill="FFF7D7"/>
          </w:tcPr>
          <w:p>
            <w:r>
              <w:rPr>
                <w:b/>
              </w:rPr>
              <w:t>Recommended target</w:t>
            </w:r>
          </w:p>
        </w:tc>
      </w:tr>
      <w:tr>
        <w:tc>
          <w:tcPr>
            <w:tcW w:type="dxa" w:w="5040"/>
          </w:tcPr>
          <w:p>
            <w:r>
              <w:t>Realtime latency</w:t>
            </w:r>
          </w:p>
        </w:tc>
        <w:tc>
          <w:tcPr>
            <w:tcW w:type="dxa" w:w="5040"/>
          </w:tcPr>
          <w:p>
            <w:r>
              <w:t>Sub-second perceived update propagation for common object mutations.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Immutable event log and soft deletion for replay completeness.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Session resilience during multi-user incident use.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Support concurrent viewers and operators without large redraw penalties.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Authenticated access, org scoping, signed viewer links, attachment controls.</w:t>
            </w:r>
          </w:p>
        </w:tc>
      </w:tr>
      <w:tr>
        <w:tc>
          <w:tcPr>
            <w:tcW w:type="dxa" w:w="5040"/>
          </w:tcPr>
          <w:p>
            <w:r>
              <w:t>Export fidelity</w:t>
            </w:r>
          </w:p>
        </w:tc>
        <w:tc>
          <w:tcPr>
            <w:tcW w:type="dxa" w:w="5040"/>
          </w:tcPr>
          <w:p>
            <w:r>
              <w:t>Consistent PDF/CSV output across browsers and screen sizes.</w:t>
            </w:r>
          </w:p>
        </w:tc>
      </w:tr>
    </w:tbl>
    <w:p>
      <w:pPr>
        <w:pStyle w:val="Heading1"/>
      </w:pPr>
      <w:r>
        <w:t>14. Testing strategy</w:t>
      </w:r>
    </w:p>
    <w:p>
      <w:pPr>
        <w:pStyle w:val="ListBullet"/>
      </w:pPr>
      <w:r>
        <w:t>Unit tests for object reducers, cost calculation, permission checks, and playback state reconstruction.</w:t>
      </w:r>
    </w:p>
    <w:p>
      <w:pPr>
        <w:pStyle w:val="ListBullet"/>
      </w:pPr>
      <w:r>
        <w:t>Integration tests for session creation, join flow, object edit flow, Add to Cost, attachment flow, and export flow.</w:t>
      </w:r>
    </w:p>
    <w:p>
      <w:pPr>
        <w:pStyle w:val="ListBullet"/>
      </w:pPr>
      <w:r>
        <w:t>Multiplayer tests for simultaneous edits, participant presence, and viewer-mode propagation.</w:t>
      </w:r>
    </w:p>
    <w:p>
      <w:pPr>
        <w:pStyle w:val="ListBullet"/>
      </w:pPr>
      <w:r>
        <w:t>Snapshot/render tests for ICS 202 and ICS 207 printable layouts.</w:t>
      </w:r>
    </w:p>
    <w:p>
      <w:pPr>
        <w:pStyle w:val="ListBullet"/>
      </w:pPr>
      <w:r>
        <w:t>Disaster tests for dropped realtime connection, weather unavailability, and late event arrival.</w:t>
      </w:r>
    </w:p>
    <w:p>
      <w:pPr>
        <w:pStyle w:val="Heading1"/>
      </w:pPr>
      <w:r>
        <w:t>15. Suggested phased roadmap</w:t>
      </w:r>
    </w:p>
    <w:p>
      <w:r>
        <w:rPr>
          <w:b/>
        </w:rPr>
        <w:t>Phase 1 — session core</w:t>
      </w:r>
    </w:p>
    <w:p>
      <w:pPr>
        <w:pStyle w:val="ListBullet2"/>
      </w:pPr>
      <w:r>
        <w:t>Auth + org model</w:t>
      </w:r>
    </w:p>
    <w:p>
      <w:pPr>
        <w:pStyle w:val="ListBullet2"/>
      </w:pPr>
      <w:r>
        <w:t>Session creation/join</w:t>
      </w:r>
    </w:p>
    <w:p>
      <w:pPr>
        <w:pStyle w:val="ListBullet2"/>
      </w:pPr>
      <w:r>
        <w:t>Object CRUD</w:t>
      </w:r>
    </w:p>
    <w:p>
      <w:pPr>
        <w:pStyle w:val="ListBullet2"/>
      </w:pPr>
      <w:r>
        <w:t>Realtime sync</w:t>
      </w:r>
    </w:p>
    <w:p>
      <w:pPr>
        <w:pStyle w:val="ListBullet2"/>
      </w:pPr>
      <w:r>
        <w:t>Viewer mode</w:t>
      </w:r>
    </w:p>
    <w:p>
      <w:r>
        <w:rPr>
          <w:b/>
        </w:rPr>
        <w:t>Phase 2 — operational tooling</w:t>
      </w:r>
    </w:p>
    <w:p>
      <w:pPr>
        <w:pStyle w:val="ListBullet2"/>
      </w:pPr>
      <w:r>
        <w:t>Cost tracking</w:t>
      </w:r>
    </w:p>
    <w:p>
      <w:pPr>
        <w:pStyle w:val="ListBullet2"/>
      </w:pPr>
      <w:r>
        <w:t>Attachments</w:t>
      </w:r>
    </w:p>
    <w:p>
      <w:pPr>
        <w:pStyle w:val="ListBullet2"/>
      </w:pPr>
      <w:r>
        <w:t>Weather</w:t>
      </w:r>
    </w:p>
    <w:p>
      <w:pPr>
        <w:pStyle w:val="ListBullet2"/>
      </w:pPr>
      <w:r>
        <w:t>Isolation tool</w:t>
      </w:r>
    </w:p>
    <w:p>
      <w:pPr>
        <w:pStyle w:val="ListBullet2"/>
      </w:pPr>
      <w:r>
        <w:t>Operational period and IC assignment</w:t>
      </w:r>
    </w:p>
    <w:p>
      <w:r>
        <w:rPr>
          <w:b/>
        </w:rPr>
        <w:t>Phase 3 — review and command documentation</w:t>
      </w:r>
    </w:p>
    <w:p>
      <w:pPr>
        <w:pStyle w:val="ListBullet2"/>
      </w:pPr>
      <w:r>
        <w:t>Playback event log</w:t>
      </w:r>
    </w:p>
    <w:p>
      <w:pPr>
        <w:pStyle w:val="ListBullet2"/>
      </w:pPr>
      <w:r>
        <w:t>Scenario export/review</w:t>
      </w:r>
    </w:p>
    <w:p>
      <w:pPr>
        <w:pStyle w:val="ListBullet2"/>
      </w:pPr>
      <w:r>
        <w:t>ICS 202</w:t>
      </w:r>
    </w:p>
    <w:p>
      <w:pPr>
        <w:pStyle w:val="ListBullet2"/>
      </w:pPr>
      <w:r>
        <w:t>ICS 207</w:t>
      </w:r>
    </w:p>
    <w:p>
      <w:r>
        <w:rPr>
          <w:b/>
        </w:rPr>
        <w:t>Phase 4 — enterprise control plane</w:t>
      </w:r>
    </w:p>
    <w:p>
      <w:pPr>
        <w:pStyle w:val="ListBullet2"/>
      </w:pPr>
      <w:r>
        <w:t>Department admin</w:t>
      </w:r>
    </w:p>
    <w:p>
      <w:pPr>
        <w:pStyle w:val="ListBullet2"/>
      </w:pPr>
      <w:r>
        <w:t>Super admin</w:t>
      </w:r>
    </w:p>
    <w:p>
      <w:pPr>
        <w:pStyle w:val="ListBullet2"/>
      </w:pPr>
      <w:r>
        <w:t>Seat limits</w:t>
      </w:r>
    </w:p>
    <w:p>
      <w:pPr>
        <w:pStyle w:val="ListBullet2"/>
      </w:pPr>
      <w:r>
        <w:t>Standing/mutual-aid access</w:t>
      </w:r>
    </w:p>
    <w:p>
      <w:pPr>
        <w:pStyle w:val="ListBullet2"/>
      </w:pPr>
      <w:r>
        <w:t>Reporting and analytics</w:t>
      </w:r>
    </w:p>
    <w:p>
      <w:pPr>
        <w:pStyle w:val="Heading1"/>
      </w:pPr>
      <w:r>
        <w:t>16. Key open questions</w:t>
      </w:r>
    </w:p>
    <w:p>
      <w:pPr>
        <w:pStyle w:val="ListBullet"/>
      </w:pPr>
      <w:r>
        <w:t>What current backend or persistence layer exists behind the browser shell?</w:t>
      </w:r>
    </w:p>
    <w:p>
      <w:pPr>
        <w:pStyle w:val="ListBullet"/>
      </w:pPr>
      <w:r>
        <w:t>Is playback already event-sourced, or is it reconstructed from object history in another way?</w:t>
      </w:r>
    </w:p>
    <w:p>
      <w:pPr>
        <w:pStyle w:val="ListBullet"/>
      </w:pPr>
      <w:r>
        <w:t>How should attachments be stored and governed for sensitive incident imagery?</w:t>
      </w:r>
    </w:p>
    <w:p>
      <w:pPr>
        <w:pStyle w:val="ListBullet"/>
      </w:pPr>
      <w:r>
        <w:t>What export fidelity is required for formal agency use of ICS 202 and ICS 207 outputs?</w:t>
      </w:r>
    </w:p>
    <w:p>
      <w:pPr>
        <w:pStyle w:val="ListBullet"/>
      </w:pPr>
      <w:r>
        <w:t>Will observer links be anonymous, authenticated, or mixed-mode?</w:t>
      </w:r>
    </w:p>
    <w:p>
      <w:pPr>
        <w:pStyle w:val="ListBullet"/>
      </w:pPr>
      <w:r>
        <w:t>Does the production vision require offline-first behavior for field teams?</w:t>
      </w:r>
    </w:p>
    <w:p>
      <w:pPr>
        <w:pStyle w:val="Heading1"/>
      </w:pPr>
      <w:r>
        <w:t>17. Implementation note for Codex / agentic development</w:t>
      </w:r>
    </w:p>
    <w:p>
      <w:r>
        <w:t>A coding agent can implement this product faster if the project begins with explicit domain types, endpoint contracts, event schemas, and reference fixtures. This document is therefore written to be machine-translatable: the schema, event types, workflows, and phased backlog can be copied directly into tickets, scaffolding prompts, or code-generation tasks.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Codex-Ready Build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666666"/>
        <w:sz w:val="18"/>
      </w:rPr>
      <w:t>LIGHTS ON SAFETY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entBox">
    <w:name w:val="AccentBox"/>
    <w:rPr>
      <w:rFonts w:ascii="Arial" w:hAnsi="Arial"/>
      <w:color w:val="17171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