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30" w:name="internal-memorandum"/>
    <w:p>
      <w:pPr>
        <w:pStyle w:val="Heading1"/>
      </w:pPr>
      <w:r>
        <w:t xml:space="preserve">INTERNAL MEMORANDUM</w:t>
      </w:r>
    </w:p>
    <w:p>
      <w:pPr>
        <w:pStyle w:val="FirstParagraph"/>
      </w:pPr>
      <w:r>
        <w:rPr>
          <w:b/>
          <w:bCs/>
        </w:rPr>
        <w:t xml:space="preserve">TO:</w:t>
      </w:r>
      <w:r>
        <w:t xml:space="preserve"> </w:t>
      </w:r>
      <w:r>
        <w:t xml:space="preserve">Julia Ashford and Daniel Kerrigan</w:t>
      </w:r>
      <w:r>
        <w:br/>
      </w:r>
      <w:r>
        <w:rPr>
          <w:b/>
          <w:bCs/>
        </w:rPr>
        <w:t xml:space="preserve">FROM:</w:t>
      </w:r>
      <w:r>
        <w:t xml:space="preserve"> </w:t>
      </w:r>
      <w:r>
        <w:t xml:space="preserve">Discovery Team</w:t>
      </w:r>
      <w:r>
        <w:br/>
      </w:r>
      <w:r>
        <w:rPr>
          <w:b/>
          <w:bCs/>
        </w:rPr>
        <w:t xml:space="preserve">DATE:</w:t>
      </w:r>
      <w:r>
        <w:t xml:space="preserve"> </w:t>
      </w:r>
      <w:r>
        <w:t xml:space="preserve">August 23, 2024</w:t>
      </w:r>
      <w:r>
        <w:br/>
      </w:r>
      <w:r>
        <w:rPr>
          <w:b/>
          <w:bCs/>
        </w:rPr>
        <w:t xml:space="preserve">RE:</w:t>
      </w:r>
      <w:r>
        <w:t xml:space="preserve"> </w:t>
      </w:r>
      <w:r>
        <w:t xml:space="preserve">Plaintiff’s First Set of Requests for Production — objections, narrowing positions, and response plan</w:t>
      </w:r>
    </w:p>
    <w:bookmarkStart w:id="20" w:name="executive-summary"/>
    <w:p>
      <w:pPr>
        <w:pStyle w:val="Heading2"/>
      </w:pPr>
      <w:r>
        <w:t xml:space="preserve">Executive summary</w:t>
      </w:r>
    </w:p>
    <w:p>
      <w:pPr>
        <w:pStyle w:val="FirstParagraph"/>
      </w:pPr>
      <w:r>
        <w:t xml:space="preserve">Caspian served 46 RFPs on August 12, 2024. Responses are due</w:t>
      </w:r>
      <w:r>
        <w:t xml:space="preserve"> </w:t>
      </w:r>
      <w:r>
        <w:rPr>
          <w:b/>
          <w:bCs/>
        </w:rPr>
        <w:t xml:space="preserve">September 11, 2024</w:t>
      </w:r>
      <w:r>
        <w:t xml:space="preserve"> </w:t>
      </w:r>
      <w:r>
        <w:t xml:space="preserve">under Fed. R. Civ. P. 34(b)(2)(A), absent an effective extension. The Case Management Order (</w:t>
      </w:r>
      <w:r>
        <w:t xml:space="preserve">“</w:t>
      </w:r>
      <w:r>
        <w:t xml:space="preserve">CMO</w:t>
      </w:r>
      <w:r>
        <w:t xml:space="preserve">”</w:t>
      </w:r>
      <w:r>
        <w:t xml:space="preserve">) imposes no numerical limit on RFPs; fact discovery closes February 28, 2025. The number of requests alone is not a sound objection. Several requests, however, sweep well beyond the dispute, demand sensitive information, or seek attorney-client/work-product material.</w:t>
      </w:r>
    </w:p>
    <w:p>
      <w:pPr>
        <w:pStyle w:val="BodyText"/>
      </w:pPr>
      <w:r>
        <w:rPr>
          <w:b/>
          <w:bCs/>
        </w:rPr>
        <w:t xml:space="preserve">Highest priorities:</w:t>
      </w:r>
      <w:r>
        <w:t xml:space="preserve"> </w:t>
      </w:r>
      <w:r>
        <w:t xml:space="preserve">(1) protect and properly log privileged/work-product material responsive to RFPs 31, 35, and 46; (2) narrow the decade-spanning/all-product-line requests, especially 3, 8, 14, 22, 27, and 38; (3) resist wholesale technical/database production under 9 and 36 while proposing a meaningful, protected production; and (4) narrow the personnel and lender/auditor demands in 19, 33, and 40. Do not equate the broad preservation hold with the narrower obligation to produce responsive, nonprivileged, proportional material.</w:t>
      </w:r>
    </w:p>
    <w:p>
      <w:pPr>
        <w:pStyle w:val="BodyText"/>
      </w:pPr>
      <w:r>
        <w:rPr>
          <w:b/>
          <w:bCs/>
        </w:rPr>
        <w:t xml:space="preserve">Important document verification point:</w:t>
      </w:r>
      <w:r>
        <w:t xml:space="preserve"> </w:t>
      </w:r>
      <w:r>
        <w:t xml:space="preserve">The executed JV Agreement’s Exhibit A identifies four NanoSieve patents as U.S. Patent Nos.</w:t>
      </w:r>
      <w:r>
        <w:t xml:space="preserve"> </w:t>
      </w:r>
      <w:r>
        <w:rPr>
          <w:b/>
          <w:bCs/>
        </w:rPr>
        <w:t xml:space="preserve">9,415,327; 9,612,884; 9,788,210; and 9,901,553</w:t>
      </w:r>
      <w:r>
        <w:t xml:space="preserve">. The Dissolution Agreement’s definition of NanoSieve IP instead lists</w:t>
      </w:r>
      <w:r>
        <w:t xml:space="preserve"> </w:t>
      </w:r>
      <w:r>
        <w:rPr>
          <w:b/>
          <w:bCs/>
        </w:rPr>
        <w:t xml:space="preserve">9,814,221; 9,927,453; 10,118,667; and 10,245,891</w:t>
      </w:r>
      <w:r>
        <w:t xml:space="preserve">. Both documents state that the portfolio contains four issued patents and twelve pending applications. These patent-number lists do not match. Confirm with the client and patent counsel whether this is a drafting error, a changed portfolio, or a substantive issue; seek clarification from Caspian as to the patents and specific trade secrets actually at issue. In the meantime, preserve and search for both sets of numbers and do not narrow collection on the assumption that either list is correct.</w:t>
      </w:r>
    </w:p>
    <w:p>
      <w:pPr>
        <w:pStyle w:val="BodyText"/>
      </w:pPr>
      <w:r>
        <w:rPr>
          <w:b/>
          <w:bCs/>
        </w:rPr>
        <w:t xml:space="preserve">Documents not included in the materials reviewed:</w:t>
      </w:r>
      <w:r>
        <w:t xml:space="preserve"> </w:t>
      </w:r>
      <w:r>
        <w:t xml:space="preserve">Daniel’s strategy email refers to the Sterling Ark credit agreement (reportedly containing a confidentiality provision, possibly §10.08) and the Ridgepoint Accounting Group engagement letter. Neither agreement was in the supplied document set. The stated section number and Greenleaf’s contractual access rights to lender/auditor records therefore remain unverified. Obtain the executed agreements before making a definitive contractual-control or confidentiality representation.</w:t>
      </w:r>
    </w:p>
    <w:p>
      <w:pPr>
        <w:pStyle w:val="BodyText"/>
      </w:pPr>
      <w:r>
        <w:t xml:space="preserve">The timing and IP provisions require care in framing the production. PureLine R&amp;D began approximately April 3, 2023, before dissolution, and the product launched November 15, 2023, during the 24-month period running through June 30, 2025. Under JV Agreement §7.3, the NanoSieve license was limited to the JV Purpose during the Term and ended on dissolution; Dissolution Agreement §§3.2 and 4.1 confirm NanoSieve reversion and restrict Greenleaf’s post-dissolution use. Joint IP remains jointly owned, while the 24-month restriction bars independent commercialization of products incorporating/derived from Joint IP; the Dissolution Agreement’s §3.4 leaves some Derivative Works allocation for technical analysis and good-faith agreement. These provisions make PureLine’s source, development, and technical features central, but the chronology alone is not an admission that PureLine uses NanoSieve or Joint IP. Preserve all positions and do not characterize disputed technology as Joint IP or Background IP without the necessary technical analysis. The five-year confidentiality obligation runs through June 30, 2028; it does not bar court-ordered discovery, but use the PO and any applicable notice/compelled-disclosure procedure (JV Agreement §11.2(e); Dissolution Agreement §§6.2, 7.3–7.4).</w:t>
      </w:r>
    </w:p>
    <w:p>
      <w:pPr>
        <w:pStyle w:val="BodyText"/>
      </w:pPr>
      <w:r>
        <w:t xml:space="preserve">Request the proposed two-week extension immediately, but continue preparing complete responses for September 11. The CMO requires a genuine real-time meet-and-confer by lead counsel and says stipulated extensions of deadlines require advance Court approval. Do not assume an informal agreement changes a Court-set deadline; obtain any required approval and preserve the current response date unless an effective extension is secured.</w:t>
      </w:r>
    </w:p>
    <w:bookmarkEnd w:id="20"/>
    <w:bookmarkStart w:id="21" w:name="X960c4913f909292b590401fa6c3c86c95181b60"/>
    <w:p>
      <w:pPr>
        <w:pStyle w:val="Heading2"/>
      </w:pPr>
      <w:r>
        <w:t xml:space="preserve">Governing framework and response discipline</w:t>
      </w:r>
    </w:p>
    <w:p>
      <w:pPr>
        <w:pStyle w:val="FirstParagraph"/>
      </w:pPr>
      <w:r>
        <w:t xml:space="preserve">Rule 26(b)(1) limits discovery to nonprivileged matter relevant to a claim or defense and proportional to the needs of the case, considering the importance of the issues, amount in controversy, relative access to information, resources, importance of the discovery, and whether burden or expense outweighs likely benefit. Rule 34 requires a request to describe items with reasonable particularity and reaches materials in the responding party’s possession, custody, or control. Under Rule 34(b)(2)(B)–(C), state specific grounds for each objection and say whether responsive material is being withheld. Rule 34(b)(2)(E) permits production as kept in the usual course of business or organized and labeled by request. Rules 26(b)(5)(A) and 26(b)(3) govern privilege/work-product claims. Rule 26(c)(1)(G) permits protection for trade secrets and confidential commercial information; confidentiality alone is not a basis to withhold otherwise discoverable material. The protective order (</w:t>
      </w:r>
      <w:r>
        <w:t xml:space="preserve">“</w:t>
      </w:r>
      <w:r>
        <w:t xml:space="preserve">PO</w:t>
      </w:r>
      <w:r>
        <w:t xml:space="preserve">”</w:t>
      </w:r>
      <w:r>
        <w:t xml:space="preserve">) governs handling, not discoverability or privilege (PO §§1.3–1.4).</w:t>
      </w:r>
    </w:p>
    <w:p>
      <w:pPr>
        <w:pStyle w:val="BodyText"/>
      </w:pPr>
      <w:r>
        <w:t xml:space="preserve">For ESI, use a phased, custodian- and subject-focused collection, with search terms and/or sampling where appropriate. Rule 26(b)(2)(B) applies if identified ESI is not reasonably accessible because of undue burden or cost; support any such contention with actual system, volume, restoration, and cost facts rather than assuming inaccessibility. Preservation is not production: the litigation hold covers January 1, 2018 forward and specific custodians/systems, but does not make every preserved record responsive or proportional. Conversely, the hold’s instruction to preserve records does not authorize deletion of potentially responsive material while objections are negotiated.</w:t>
      </w:r>
    </w:p>
    <w:p>
      <w:pPr>
        <w:pStyle w:val="BodyText"/>
      </w:pPr>
      <w:r>
        <w:t xml:space="preserve">Use the PO’s actual tiers—</w:t>
      </w:r>
      <w:r>
        <w:rPr>
          <w:b/>
          <w:bCs/>
        </w:rPr>
        <w:t xml:space="preserve">CONFIDENTIAL</w:t>
      </w:r>
      <w:r>
        <w:t xml:space="preserve"> </w:t>
      </w:r>
      <w:r>
        <w:t xml:space="preserve">and</w:t>
      </w:r>
      <w:r>
        <w:t xml:space="preserve"> </w:t>
      </w:r>
      <w:r>
        <w:rPr>
          <w:b/>
          <w:bCs/>
        </w:rPr>
        <w:t xml:space="preserve">ATTORNEYS’ EYES ONLY (AEO)</w:t>
      </w:r>
      <w:r>
        <w:t xml:space="preserve">. The RFPs’ phrase</w:t>
      </w:r>
      <w:r>
        <w:t xml:space="preserve"> </w:t>
      </w:r>
      <w:r>
        <w:t xml:space="preserve">“</w:t>
      </w:r>
      <w:r>
        <w:t xml:space="preserve">Highly Confidential — Attorneys’ Eyes Only</w:t>
      </w:r>
      <w:r>
        <w:t xml:space="preserve">”</w:t>
      </w:r>
      <w:r>
        <w:t xml:space="preserve"> </w:t>
      </w:r>
      <w:r>
        <w:t xml:space="preserve">is not the PO’s defined label; clarify that productions will be designated under the entered order. The existing AEO tier is useful for technical and financial material (PO §§2.3, 5), but neither tier replaces a relevance objection. It also does not automatically entitle Caspian personnel to see AEO material. For difficult technical material, consider an agreed protocol limiting access to outside counsel and an independent, noncompetitive expert, with secure storage, no competitive use, and appropriate redaction or segregation. Seek further Rule 26(c) relief if the specific material and risk warrant it.</w:t>
      </w:r>
    </w:p>
    <w:p>
      <w:pPr>
        <w:pStyle w:val="BodyText"/>
      </w:pPr>
      <w:r>
        <w:t xml:space="preserve">Do not rely on omnibus boilerplate. The definitions of</w:t>
      </w:r>
      <w:r>
        <w:t xml:space="preserve"> </w:t>
      </w:r>
      <w:r>
        <w:t xml:space="preserve">“</w:t>
      </w:r>
      <w:r>
        <w:t xml:space="preserve">Greenleaf,</w:t>
      </w:r>
      <w:r>
        <w:t xml:space="preserve">”</w:t>
      </w:r>
      <w:r>
        <w:t xml:space="preserve"> </w:t>
      </w:r>
      <w:r>
        <w:t xml:space="preserve">“</w:t>
      </w:r>
      <w:r>
        <w:t xml:space="preserve">relating to,</w:t>
      </w:r>
      <w:r>
        <w:t xml:space="preserve">”</w:t>
      </w:r>
      <w:r>
        <w:t xml:space="preserve"> </w:t>
      </w:r>
      <w:r>
        <w:t xml:space="preserve">and</w:t>
      </w:r>
      <w:r>
        <w:t xml:space="preserve"> </w:t>
      </w:r>
      <w:r>
        <w:t xml:space="preserve">“</w:t>
      </w:r>
      <w:r>
        <w:t xml:space="preserve">Document</w:t>
      </w:r>
      <w:r>
        <w:t xml:space="preserve">”</w:t>
      </w:r>
      <w:r>
        <w:t xml:space="preserve"> </w:t>
      </w:r>
      <w:r>
        <w:t xml:space="preserve">should not expand collection beyond responsive material within Greenleaf’s possession, custody, or control; the</w:t>
      </w:r>
      <w:r>
        <w:t xml:space="preserve"> </w:t>
      </w:r>
      <w:r>
        <w:t xml:space="preserve">“</w:t>
      </w:r>
      <w:r>
        <w:t xml:space="preserve">broadest permissible sense</w:t>
      </w:r>
      <w:r>
        <w:t xml:space="preserve">”</w:t>
      </w:r>
      <w:r>
        <w:t xml:space="preserve"> </w:t>
      </w:r>
      <w:r>
        <w:t xml:space="preserve">phrase cannot override relevance, proportionality, or reasonable particularity. Identify responsive material withheld under each objection. For the instructions: (1) supplement as Rule 26(e) requires, not under an unlimited</w:t>
      </w:r>
      <w:r>
        <w:t xml:space="preserve"> </w:t>
      </w:r>
      <w:r>
        <w:t xml:space="preserve">“</w:t>
      </w:r>
      <w:r>
        <w:t xml:space="preserve">promptly</w:t>
      </w:r>
      <w:r>
        <w:t xml:space="preserve">”</w:t>
      </w:r>
      <w:r>
        <w:t xml:space="preserve"> </w:t>
      </w:r>
      <w:r>
        <w:t xml:space="preserve">obligation; (2) follow Rule 34(b)(2)(E)—produce as kept in the usual course or organize/label by request, without an extra source-by-source identification obligation if produced as kept; (3) provide a privilege log under Rule 26(b)(5)(A) and Local Rule 26.2; (4) do not create a narrative for every unknown/lost item, but report known material loss as required and preserve relevant evidence; (5) distinguish preservation from production, including backup/archival sources; (6) use the PO’s defined confidentiality tiers; (7) apply the date in each request, not the undefined</w:t>
      </w:r>
      <w:r>
        <w:t xml:space="preserve"> </w:t>
      </w:r>
      <w:r>
        <w:t xml:space="preserve">“</w:t>
      </w:r>
      <w:r>
        <w:t xml:space="preserve">broadest</w:t>
      </w:r>
      <w:r>
        <w:t xml:space="preserve">”</w:t>
      </w:r>
      <w:r>
        <w:t xml:space="preserve"> </w:t>
      </w:r>
      <w:r>
        <w:t xml:space="preserve">default; (8) do not allow the instruction to override proper privilege or other legally justified treatment, and seek agreement or Court direction before redacting responsive nonprivileged content; (9) produce responsive attachments as document families where reasonably practicable; and (10) no objection to the ordinary singular/plural rule. CMO ¶9 requires counsel to attempt resolution in a substantive telephone or in-person discussion; correspondence alone is insufficient. If a discovery dispute remains, the CMO provides for a letter brief of no more than five pages, with a five-page response due within three business days.</w:t>
      </w:r>
    </w:p>
    <w:bookmarkEnd w:id="21"/>
    <w:bookmarkStart w:id="28" w:name="issue-analysis-and-recommended-positions"/>
    <w:p>
      <w:pPr>
        <w:pStyle w:val="Heading2"/>
      </w:pPr>
      <w:r>
        <w:t xml:space="preserve">Issue analysis and recommended positions</w:t>
      </w:r>
    </w:p>
    <w:bookmarkStart w:id="22" w:name="X1ccacbe8c0f40f2478368afe9ad84c2e7e3c62c"/>
    <w:p>
      <w:pPr>
        <w:pStyle w:val="Heading3"/>
      </w:pPr>
      <w:r>
        <w:t xml:space="preserve">1. Privilege, work product, and litigation-hold materials — highest priority</w:t>
      </w:r>
    </w:p>
    <w:p>
      <w:pPr>
        <w:pStyle w:val="FirstParagraph"/>
      </w:pPr>
      <w:r>
        <w:rPr>
          <w:b/>
          <w:bCs/>
        </w:rPr>
        <w:t xml:space="preserve">RFP 31 (all communications with any attorney/legal advisor, 2019 to present).</w:t>
      </w:r>
      <w:r>
        <w:t xml:space="preserve"> </w:t>
      </w:r>
      <w:r>
        <w:t xml:space="preserve">The request expressly reaches confidential legal advice about the JV, dissolution, PureLine, the wind-down, and this litigation. Object under Rules 26(b)(1), 26(b)(5)(A), and 26(b)(3) to attorney-client privileged communications and protected work product. Do not claim a blanket privilege over every document involving a lawyer: segregate confidential requests for/giving legal advice from ordinary business communications, nonconfidential communications, and business records merely copied to counsel. A document is not privileged just because a lawyer was involved. Deal-negotiation communications shared with Caspian generally cannot be withheld as confidential attorney-client communications between Greenleaf and its counsel; analyze each document and any applicable protection. Produce nonprivileged responsive material and nonprivileged attachments, with targeted redactions where justified. State clearly what categories are withheld.</w:t>
      </w:r>
    </w:p>
    <w:p>
      <w:pPr>
        <w:pStyle w:val="BodyText"/>
      </w:pPr>
      <w:r>
        <w:t xml:space="preserve">Begin the privilege review now. Preserve native material and family relationships; deduplicate without losing distinct annotations/versions; identify counsel and legal-advice threads; review mixed legal/business communications individually; and separate factual business records from legal advice. Use privilege terms/domains to prioritize, not as a substitute for review. The litigation-hold estimate of approximately 950,000 post-deduplication documents describes a broad preservation universe, not the number responsive to RFP 31 or the number that must be individually logged.</w:t>
      </w:r>
    </w:p>
    <w:p>
      <w:pPr>
        <w:pStyle w:val="BodyText"/>
      </w:pPr>
      <w:r>
        <w:t xml:space="preserve">Provide a log that satisfies Rule 26(b)(5)(A) and W.D.N.C. Local Rule 26.2. A</w:t>
      </w:r>
      <w:r>
        <w:t xml:space="preserve"> </w:t>
      </w:r>
      <w:r>
        <w:rPr>
          <w:b/>
          <w:bCs/>
        </w:rPr>
        <w:t xml:space="preserve">categorical log should be proposed only by agreement or Court approval</w:t>
      </w:r>
      <w:r>
        <w:t xml:space="preserve">, with categories narrow and descriptive enough for Caspian and the Court to assess the claim; do not impose a categorical log unilaterally. Given the reported volume, propose categories by discrete subject/date/counsel and privilege basis, plus document-level logging for unusual or disputed items, and meet and confer promptly. Confirm the current Local Rule’s required fields and timing. Log redacted documents as required. Consider a Rule 502(d) order only if appropriate; the entered PO expressly does not establish an inadvertent-privilege-production procedure (PO §§1.4, 9, 15.4).</w:t>
      </w:r>
    </w:p>
    <w:p>
      <w:pPr>
        <w:pStyle w:val="BodyText"/>
      </w:pPr>
      <w:r>
        <w:rPr>
          <w:b/>
          <w:bCs/>
        </w:rPr>
        <w:t xml:space="preserve">RFP 35 (internal investigation/review of PureLine and NanoSieve, April 2023 to present).</w:t>
      </w:r>
      <w:r>
        <w:t xml:space="preserve"> </w:t>
      </w:r>
      <w:r>
        <w:t xml:space="preserve">Object to counsel-directed investigation materials created because of anticipated litigation and to attorney advice/opinion work product. Work-product protection depends on the circumstances and purpose of preparation; the date range alone does not make every document protected. Review and produce ordinary-course engineering tests, underlying business records, nonprivileged factual investigation material, and remedial records to the extent responsive and proportional. Separate counsel’s mental impressions, legal analysis, and litigation strategy. Apply the same logging approach as RFP 31. Do not withhold an entire investigation file merely because counsel participated.</w:t>
      </w:r>
    </w:p>
    <w:p>
      <w:pPr>
        <w:pStyle w:val="BodyText"/>
      </w:pPr>
      <w:r>
        <w:rPr>
          <w:b/>
          <w:bCs/>
        </w:rPr>
        <w:t xml:space="preserve">RFP 46 (litigation hold notices, scope, custodians, and Legal/IT communications).</w:t>
      </w:r>
      <w:r>
        <w:t xml:space="preserve"> </w:t>
      </w:r>
      <w:r>
        <w:t xml:space="preserve">Object to disclosure of privileged legal advice and work product reflecting counsel’s selection of custodians, preservation strategy, anticipated claims, and mental impressions. The hold memorandum is not automatically privileged in every respect; assess the specific content and purpose. Offer a nonprivileged factual account, if appropriate, of the hold’s issuance/implementation (date, systems and custodians preserved, suspension of relevant deletion, and steps taken), without disclosing protected legal analysis or communications. No duty to create a privileged narrative. This request also seeks potentially burdensome Legal/IT communications; propose targeted nonprivileged implementation records, not every exchange. Preserve the hold documents and implementation evidence. The Dissolution Agreement’s return/destruction obligations (§§5.2–5.5) do not displace Greenleaf’s later litigation-preservation obligations; its §5.5 expressly permits a legal-compliance/litigation-hold archival copy.</w:t>
      </w:r>
    </w:p>
    <w:p>
      <w:pPr>
        <w:pStyle w:val="BodyText"/>
      </w:pPr>
      <w:r>
        <w:rPr>
          <w:b/>
          <w:bCs/>
        </w:rPr>
        <w:t xml:space="preserve">Related privilege review:</w:t>
      </w:r>
      <w:r>
        <w:t xml:space="preserve"> </w:t>
      </w:r>
      <w:r>
        <w:t xml:space="preserve">RFPs 4, 6, and 11 may capture internal counsel advice or privileged attachments; RFPs 21 and 30 may capture internal legal communications but ordinary communications between the parties are not privileged merely because counsel was copied; RFP 41 may sweep in work product; RFP 23 may include counsel-directed forensic/investigation reports; and RFP 32 may include legal advice embedded in otherwise nonprivileged policies/training. Review each specifically rather than withholding whole subject areas.</w:t>
      </w:r>
    </w:p>
    <w:bookmarkEnd w:id="22"/>
    <w:bookmarkStart w:id="23" w:name="X2da046df8ce12651e3dc16314f15dfda62b6206"/>
    <w:p>
      <w:pPr>
        <w:pStyle w:val="Heading3"/>
      </w:pPr>
      <w:r>
        <w:t xml:space="preserve">2. Date and subject-matter overbreadth; Greenleaf-wide and all-product-line requests</w:t>
      </w:r>
    </w:p>
    <w:p>
      <w:pPr>
        <w:pStyle w:val="FirstParagraph"/>
      </w:pPr>
      <w:r>
        <w:rPr>
          <w:b/>
          <w:bCs/>
        </w:rPr>
        <w:t xml:space="preserve">RFP 3 (all membrane-filtration R&amp;D, January 1, 2009 to present) — High.</w:t>
      </w:r>
      <w:r>
        <w:t xml:space="preserve"> </w:t>
      </w:r>
      <w:r>
        <w:t xml:space="preserve">Some prior technology history is relevant to Greenleaf’s independent-development defense, but 15 years of all membrane R&amp;D is not tailored to the alleged NanoSieve trade secrets, the JV, or PureLine. Offer Greenleaf-held materials from January 1, 2018 forward concerning the JV, NanoSieve, the asserted technical features, and PureLine; include earlier, specifically identified materials tied to the relevant technology or identified in a custodian’s development history. The hold identifies 2018 as the reasonable starting point because pre-2018 predates the parties’ relationship, but it expressly permits specific counsel-directed exceptions. Do not exclude a demonstrably relevant earlier record solely because it predates the hold window.</w:t>
      </w:r>
    </w:p>
    <w:p>
      <w:pPr>
        <w:pStyle w:val="BodyText"/>
      </w:pPr>
      <w:r>
        <w:rPr>
          <w:b/>
          <w:bCs/>
        </w:rPr>
        <w:t xml:space="preserve">RFP 5 (all Greenleaf industrial-filtration strategy/market/competitive analysis, 2019 to present) — Medium.</w:t>
      </w:r>
      <w:r>
        <w:t xml:space="preserve"> </w:t>
      </w:r>
      <w:r>
        <w:t xml:space="preserve">The broad market and competitor sweep across Greenleaf’s entire business is disproportionate. Narrow to strategy, market, or competitive materials concerning the JV, NanoSieve, PureLine, or a specifically comparable product/market relevant to Caspian’s claims or damages, for relevant decisionmakers and 2018 forward. Exclude unrelated business lines and unrelated market assessments.</w:t>
      </w:r>
    </w:p>
    <w:p>
      <w:pPr>
        <w:pStyle w:val="BodyText"/>
      </w:pPr>
      <w:r>
        <w:rPr>
          <w:b/>
          <w:bCs/>
        </w:rPr>
        <w:t xml:space="preserve">RFP 7 (departmental organization charts/rosters, 2009 to present) — Medium.</w:t>
      </w:r>
      <w:r>
        <w:t xml:space="preserve"> </w:t>
      </w:r>
      <w:r>
        <w:t xml:space="preserve">A limited organization/role history can identify supervision, technical access, and independent development. Offer 2018 forward for relevant R&amp;D, engineering, manufacturing, and quality personnel who worked on the JV, NanoSieve-related work, or PureLine; no decade-plus of every roster or unrelated personnel history. RFPs 17 and 33 address more specific staffing and personnel information.</w:t>
      </w:r>
    </w:p>
    <w:p>
      <w:pPr>
        <w:pStyle w:val="BodyText"/>
      </w:pPr>
      <w:r>
        <w:rPr>
          <w:b/>
          <w:bCs/>
        </w:rPr>
        <w:t xml:space="preserve">RFP 8 (all Greenleaf products/product lines, 2019 to present) — High.</w:t>
      </w:r>
      <w:r>
        <w:t xml:space="preserve"> </w:t>
      </w:r>
      <w:r>
        <w:t xml:space="preserve">Limit to PureLine 400 and JV products/technology, plus a record for another product line only if it bears on NanoSieve, Joint IP, an asserted trade secret, or the defenses. This is consistent with the litigation hold’s express note that PureLine is the only Greenleaf line in scope absent a concrete connection to the JV or claims. Do not produce all eleven product lines as a default.</w:t>
      </w:r>
    </w:p>
    <w:p>
      <w:pPr>
        <w:pStyle w:val="BodyText"/>
      </w:pPr>
      <w:r>
        <w:rPr>
          <w:b/>
          <w:bCs/>
        </w:rPr>
        <w:t xml:space="preserve">RFP 12 (all marketing materials for every product line, 2019 to present) — Medium.</w:t>
      </w:r>
      <w:r>
        <w:t xml:space="preserve"> </w:t>
      </w:r>
      <w:r>
        <w:t xml:space="preserve">Offer PureLine and CaspianLeaf/JV materials, including customer-facing statements about PureLine’s origin, filtration capabilities, NanoSieve, or relevant technical performance. Exclude unrelated product catalogs, advertising, and social-media materials for the other product lines. Use the PO for nonpublic pricing/customer material.</w:t>
      </w:r>
    </w:p>
    <w:p>
      <w:pPr>
        <w:pStyle w:val="BodyText"/>
      </w:pPr>
      <w:r>
        <w:rPr>
          <w:b/>
          <w:bCs/>
        </w:rPr>
        <w:t xml:space="preserve">RFP 14 (all Greenleaf IP, patent files, trade-secret inventories, and valuations, 2009 to present) — High.</w:t>
      </w:r>
      <w:r>
        <w:t xml:space="preserve"> </w:t>
      </w:r>
      <w:r>
        <w:t xml:space="preserve">An enterprise-wide inventory of Greenleaf’s IP and prosecution files exposes unrelated background IP and imposes a substantial burden. Narrow to IP identified as relevant to PureLine, the JV, the NanoSieve comparison, alleged trade secrets, or the independent-development defense, and to materials showing the development/ownership/technical features of that IP. Start with 2018 forward; consider earlier specific records when tied to the relevant technology. Use AEO for genuinely sensitive technical detail. A general assertion of Greenleaf trade-secret status is not a basis to withhold directly relevant evidence.</w:t>
      </w:r>
    </w:p>
    <w:p>
      <w:pPr>
        <w:pStyle w:val="BodyText"/>
      </w:pPr>
      <w:r>
        <w:rPr>
          <w:b/>
          <w:bCs/>
        </w:rPr>
        <w:t xml:space="preserve">RFP 16 (all membrane-filtration literature/analysis from any source, 2017 to present) — Medium.</w:t>
      </w:r>
      <w:r>
        <w:t xml:space="preserve"> </w:t>
      </w:r>
      <w:r>
        <w:t xml:space="preserve">This could encompass an unbounded literature collection, including materials neither known nor used by Greenleaf. Limit to materials possessed or controlled by Greenleaf that relevant JV/PureLine personnel actually reviewed, received, cited, relied on, or used, and that concern NanoSieve, the relevant features, or independent development. No duty to collect all publicly available research from third parties.</w:t>
      </w:r>
    </w:p>
    <w:p>
      <w:pPr>
        <w:pStyle w:val="BodyText"/>
      </w:pPr>
      <w:r>
        <w:rPr>
          <w:b/>
          <w:bCs/>
        </w:rPr>
        <w:t xml:space="preserve">RFP 22 (all filtration-business plans, forecasts, and financial models, 2009 to present) — High.</w:t>
      </w:r>
      <w:r>
        <w:t xml:space="preserve"> </w:t>
      </w:r>
      <w:r>
        <w:t xml:space="preserve">Company-wide and 15-year financial plans are not proportional to the pleaded dispute. Limit to the JV and PureLine, and any directly relevant comparator specifically implicated in damages, from 2018 forward (earlier targeted source records only if tied to independent development). Offer PureLine/JV-specific revenue, cost, margin, and relevant forecast information if in Greenleaf’s possession and responsive to a damages theory; protect sensitive data under AEO. Avoid unrestricted disclosure of company-wide projections.</w:t>
      </w:r>
    </w:p>
    <w:p>
      <w:pPr>
        <w:pStyle w:val="BodyText"/>
      </w:pPr>
      <w:r>
        <w:rPr>
          <w:b/>
          <w:bCs/>
        </w:rPr>
        <w:t xml:space="preserve">RFP 27 (all product-line revenue, pricing, COGS, and margins for all eleven lines, 2019 to present) — High.</w:t>
      </w:r>
      <w:r>
        <w:t xml:space="preserve"> </w:t>
      </w:r>
      <w:r>
        <w:t xml:space="preserve">Narrow to PureLine and JV products/operations, and any specifically justified comparator; exclude financial data for unrelated lines. Identify what damages-related data will be produced and use AEO for detailed cost models, pricing, or projections. If Caspian seeks a broader financial comparison, require it to identify the damages theory and explain why unrelated lines are needed.</w:t>
      </w:r>
    </w:p>
    <w:p>
      <w:pPr>
        <w:pStyle w:val="BodyText"/>
      </w:pPr>
      <w:r>
        <w:rPr>
          <w:b/>
          <w:bCs/>
        </w:rPr>
        <w:t xml:space="preserve">RFP 38 (all senior-management/board competitive strategy, R&amp;D roadmap, and IP assessments, 2017 to present) — Medium.</w:t>
      </w:r>
      <w:r>
        <w:t xml:space="preserve"> </w:t>
      </w:r>
      <w:r>
        <w:t xml:space="preserve">Limit to board/senior-management materials addressing the JV, NanoSieve, PureLine, Joint IP, or the relevant technical development/independent-development defense, for 2018 forward. Exclude unrelated competitive positioning, M&amp;A, and licensing targets. Review for privilege and use AEO as warranted. Coordinate with RFPs 5, 6, and 14 to avoid duplicate collections.</w:t>
      </w:r>
    </w:p>
    <w:p>
      <w:pPr>
        <w:pStyle w:val="BodyText"/>
      </w:pPr>
      <w:r>
        <w:rPr>
          <w:b/>
          <w:bCs/>
        </w:rPr>
        <w:t xml:space="preserve">RFP 43 (all confidentiality/trade-secret/security policies from 2018 to present) — Medium.</w:t>
      </w:r>
      <w:r>
        <w:t xml:space="preserve"> </w:t>
      </w:r>
      <w:r>
        <w:t xml:space="preserve">Trade-secret protection measures are relevant, but a company-wide cybersecurity/incident-response production is not automatically relevant. Offer policies, training, access controls, and acknowledgments applicable to the custodians and repositories holding Caspian/JV/NanoSieve information, for the relevant period. Exclude unrelated security architecture, credentials, and enterprise materials absent a specific link; redact sensitive security details where justified. Produce operative nonprivileged policies; review counsel advice separately.</w:t>
      </w:r>
    </w:p>
    <w:bookmarkEnd w:id="23"/>
    <w:bookmarkStart w:id="24" w:name="Xa4c50acfd3141e5cccc7ea85abc84f11080465c"/>
    <w:p>
      <w:pPr>
        <w:pStyle w:val="Heading3"/>
      </w:pPr>
      <w:r>
        <w:t xml:space="preserve">3. PureLine technical material, trade secrets, and ESI</w:t>
      </w:r>
    </w:p>
    <w:p>
      <w:pPr>
        <w:pStyle w:val="FirstParagraph"/>
      </w:pPr>
      <w:r>
        <w:rPr>
          <w:b/>
          <w:bCs/>
        </w:rPr>
        <w:t xml:space="preserve">RFP 9 (complete, unredacted PureLine technical specifications/design/manufacturing records) — High.</w:t>
      </w:r>
      <w:r>
        <w:t xml:space="preserve"> </w:t>
      </w:r>
      <w:r>
        <w:t xml:space="preserve">This directly concerns the non-infringement counterclaim and alleged derivation, so a blanket refusal is not defensible. Object to</w:t>
      </w:r>
      <w:r>
        <w:t xml:space="preserve"> </w:t>
      </w:r>
      <w:r>
        <w:t xml:space="preserve">“</w:t>
      </w:r>
      <w:r>
        <w:t xml:space="preserve">complete, unredacted</w:t>
      </w:r>
      <w:r>
        <w:t xml:space="preserve">”</w:t>
      </w:r>
      <w:r>
        <w:t xml:space="preserve"> </w:t>
      </w:r>
      <w:r>
        <w:t xml:space="preserve">to the extent it sweeps in unrelated Greenleaf Background IP, nonresponsive components, privileged content, or unnecessary sensitive details. Propose a staged production of the PureLine design, testing, engineering, manufacturing, and version records needed to evaluate the alleged NanoSieve/Joint IP overlap. Confer on component-specific limits, exemplars, and technical search terms. Designate genuinely sensitive materials AEO under PO §§2.3 and 5; if necessary seek a tailored Rule 26(c) protocol for especially sensitive formulas/processes. The PO’s AEO tier materially restricts employee access, but assess any concrete residual risk rather than treating</w:t>
      </w:r>
      <w:r>
        <w:t xml:space="preserve"> </w:t>
      </w:r>
      <w:r>
        <w:t xml:space="preserve">“</w:t>
      </w:r>
      <w:r>
        <w:t xml:space="preserve">trade secret</w:t>
      </w:r>
      <w:r>
        <w:t xml:space="preserve">”</w:t>
      </w:r>
      <w:r>
        <w:t xml:space="preserve"> </w:t>
      </w:r>
      <w:r>
        <w:t xml:space="preserve">as a categorical bar.</w:t>
      </w:r>
    </w:p>
    <w:p>
      <w:pPr>
        <w:pStyle w:val="BodyText"/>
      </w:pPr>
      <w:r>
        <w:rPr>
          <w:b/>
          <w:bCs/>
        </w:rPr>
        <w:t xml:space="preserve">RFP 24 (comparisons of NanoSieve and any other filtration technology) — Medium.</w:t>
      </w:r>
      <w:r>
        <w:t xml:space="preserve"> </w:t>
      </w:r>
      <w:r>
        <w:t xml:space="preserve">Relevant comparative analyses may be central, but</w:t>
      </w:r>
      <w:r>
        <w:t xml:space="preserve"> </w:t>
      </w:r>
      <w:r>
        <w:t xml:space="preserve">“</w:t>
      </w:r>
      <w:r>
        <w:t xml:space="preserve">any other</w:t>
      </w:r>
      <w:r>
        <w:t xml:space="preserve">”</w:t>
      </w:r>
      <w:r>
        <w:t xml:space="preserve"> </w:t>
      </w:r>
      <w:r>
        <w:t xml:space="preserve">technology and every comparison are broad. Limit to comparisons Greenleaf made, received, or relied on concerning NanoSieve, the features alleged to be trade secrets, JV technology, and PureLine, by relevant custodians, 2018 forward. Include responsive teardown, claim mapping, and benchmarking actually performed; do not imply such work exists. Protect technical content AEO.</w:t>
      </w:r>
    </w:p>
    <w:p>
      <w:pPr>
        <w:pStyle w:val="BodyText"/>
      </w:pPr>
      <w:r>
        <w:rPr>
          <w:b/>
          <w:bCs/>
        </w:rPr>
        <w:t xml:space="preserve">RFP 36 (all SAP, Windchill, and other enterprise-system data</w:t>
      </w:r>
      <w:r>
        <w:rPr>
          <w:b/>
          <w:bCs/>
        </w:rPr>
        <w:t xml:space="preserve"> </w:t>
      </w:r>
      <w:r>
        <w:rPr>
          <w:b/>
          <w:bCs/>
        </w:rPr>
        <w:t xml:space="preserve">“</w:t>
      </w:r>
      <w:r>
        <w:rPr>
          <w:b/>
          <w:bCs/>
        </w:rPr>
        <w:t xml:space="preserve">relating in any way</w:t>
      </w:r>
      <w:r>
        <w:rPr>
          <w:b/>
          <w:bCs/>
        </w:rPr>
        <w:t xml:space="preserve">”</w:t>
      </w:r>
      <w:r>
        <w:rPr>
          <w:b/>
          <w:bCs/>
        </w:rPr>
        <w:t xml:space="preserve"> </w:t>
      </w:r>
      <w:r>
        <w:rPr>
          <w:b/>
          <w:bCs/>
        </w:rPr>
        <w:t xml:space="preserve">to PureLine, native with all metadata/audit trails) — High.</w:t>
      </w:r>
      <w:r>
        <w:t xml:space="preserve"> </w:t>
      </w:r>
      <w:r>
        <w:t xml:space="preserve">“</w:t>
      </w:r>
      <w:r>
        <w:t xml:space="preserve">All data</w:t>
      </w:r>
      <w:r>
        <w:t xml:space="preserve">”</w:t>
      </w:r>
      <w:r>
        <w:t xml:space="preserve"> </w:t>
      </w:r>
      <w:r>
        <w:t xml:space="preserve">and a wholesale database export would capture irrelevant operational, HR, and financial data. The hold specifically notes that SAP contains enterprise-wide records across all eleven product lines; preservation of in-scope material is not consent to produce the system. Propose a system-specific ESI protocol: identify relevant custodians, date ranges, PureLine/JV/NanoSieve-related modules and fields; use targeted queries/searches and a sample to test yield; export responsive records in reasonably usable form with relevant metadata and family/version links. Seek cost/volume information before invoking Rule 26(b)(2)(B). Windchill design history, change orders, bills of materials, and version records related to PureLine/JV should be prioritized. Do not promise all audit trails without determining availability and relevance.</w:t>
      </w:r>
    </w:p>
    <w:p>
      <w:pPr>
        <w:pStyle w:val="BodyText"/>
      </w:pPr>
      <w:r>
        <w:rPr>
          <w:b/>
          <w:bCs/>
        </w:rPr>
        <w:t xml:space="preserve">RFP 37 (all chain-of-custody/access/user-permission/security records for NanoSieve material, 2019 to present) — Medium.</w:t>
      </w:r>
      <w:r>
        <w:t xml:space="preserve"> </w:t>
      </w:r>
      <w:r>
        <w:t xml:space="preserve">Actual access, copying, download, or transfer evidence is relevant to misappropriation and reasonable protection. Narrow to identified NanoSieve/JV repositories and responsive files, relevant custodians/accounts, and logs showing access or transfer during the material period. Exclude enterprise-wide credential assignments and generic security architecture; protect credentials and information that would create a security risk. Preserve potentially responsive logs now and state any known retention/availability limits after IT investigation.</w:t>
      </w:r>
    </w:p>
    <w:p>
      <w:pPr>
        <w:pStyle w:val="BodyText"/>
      </w:pPr>
      <w:r>
        <w:rPr>
          <w:b/>
          <w:bCs/>
        </w:rPr>
        <w:t xml:space="preserve">RFP 39 (PureLine quality, verification, reliability, and performance testing) — Low.</w:t>
      </w:r>
      <w:r>
        <w:t xml:space="preserve"> </w:t>
      </w:r>
      <w:r>
        <w:t xml:space="preserve">This is substantially tailored to PureLine and likely should be produced, subject to privilege review and AEO protection for proprietary protocols/results. Confirm a reasonable period—PureLine project inception (approximately April 3, 2023) to present, plus any earlier directly relevant source testing—and exclude unrelated product-line testing. Do not withhold responsive testing merely because it is confidential.</w:t>
      </w:r>
    </w:p>
    <w:p>
      <w:pPr>
        <w:pStyle w:val="BodyText"/>
      </w:pPr>
      <w:r>
        <w:rPr>
          <w:b/>
          <w:bCs/>
        </w:rPr>
        <w:t xml:space="preserve">RFP 44 (all third-party PureLine manufacture/supply/distribution/sales agreements) — Medium.</w:t>
      </w:r>
      <w:r>
        <w:t xml:space="preserve"> </w:t>
      </w:r>
      <w:r>
        <w:t xml:space="preserve">Relevant agreements may identify product components, manufacturing, commercialization, and costs. Limit to actual PureLine agreements and responsive amendments, purchase orders, or statements of work. Protect or narrowly redact unrelated terms, third-party confidential material, account/security details, or unrelated products; use AEO for sensitive pricing and technical schedules. A supplier confidentiality clause does not by itself eliminate Greenleaf’s discovery obligation; check the agreement and use the PO/notice or seek consent if needed.</w:t>
      </w:r>
    </w:p>
    <w:bookmarkEnd w:id="24"/>
    <w:bookmarkStart w:id="25" w:name="X356ed6b94e91b78885cd6611e4eb5f9342ad12d"/>
    <w:p>
      <w:pPr>
        <w:pStyle w:val="Heading3"/>
      </w:pPr>
      <w:r>
        <w:t xml:space="preserve">4. Financial information, lender confidentiality, and third-party control</w:t>
      </w:r>
    </w:p>
    <w:p>
      <w:pPr>
        <w:pStyle w:val="FirstParagraph"/>
      </w:pPr>
      <w:r>
        <w:rPr>
          <w:b/>
          <w:bCs/>
        </w:rPr>
        <w:t xml:space="preserve">RFP 19 (all Greenleaf financing/credit agreements and lender communications, 2020 to present) — High.</w:t>
      </w:r>
      <w:r>
        <w:t xml:space="preserve"> </w:t>
      </w:r>
      <w:r>
        <w:t xml:space="preserve">As framed, this seeks broad corporate financing information with no evident connection to the JV/IP liability questions. Object under Rule 26(b)(1) as overbroad and disproportionate; Greenleaf’s general ability to pay is not itself a pleaded merits issue. Offer any lender material specifically discussing the JV, PureLine, NanoSieve/Joint IP, a lien or security interest affecting JV assets, or a properly supported damages issue. Do not claim that confidentiality alone bars production. Strategy counsel reports a Sterling Ark $40 million facility dated March 2022 and a confidentiality clause, possibly §10.08, but the executed agreement was not supplied for this review. Verify the exact clause, scope, permitted disclosures, notice/consent obligations, and any access provisions. If relevant responsive records are ordered produced, notify Sterling Ark as appropriate, seek written consent or tailored protection, and use AEO. Caspian can use Rule 45 for lender-held material outside Greenleaf’s control; Greenleaf must still produce responsive records it actually possesses or controls.</w:t>
      </w:r>
    </w:p>
    <w:p>
      <w:pPr>
        <w:pStyle w:val="BodyText"/>
      </w:pPr>
      <w:r>
        <w:rPr>
          <w:b/>
          <w:bCs/>
        </w:rPr>
        <w:t xml:space="preserve">RFP 40 (Greenleaf-wide financial statements, auditor reports/workpapers/management letters, 2019–2023) — High.</w:t>
      </w:r>
      <w:r>
        <w:t xml:space="preserve"> </w:t>
      </w:r>
      <w:r>
        <w:t xml:space="preserve">Object to wholesale company financial statements and audit materials as irrelevant/disproportionate absent a case-specific damages or JV accounting connection. Offer JV financial records (see RFP 18), PureLine/JV-specific records responsive to a supported damages theory, and internal audit/management-letter material specifically addressing the JV, PureLine, or relevant claims. Distinguish final reports and management letters held by Greenleaf from the auditor’s workpapers. The strategy email identifies Ridgepoint as auditor since 2017, but the engagement letter was not supplied. Obtain it and determine Greenleaf’s actual contractual right to access specific workpapers; do not assert a categorical lack of control until verified. If Greenleaf has no possession, custody, or legal right to obtain a third party’s independent files, object to that portion and direct Caspian to Rule 45. Protect responsive financial material under AEO and redact unrelated third-party/client information where justified.</w:t>
      </w:r>
    </w:p>
    <w:p>
      <w:pPr>
        <w:pStyle w:val="BodyText"/>
      </w:pPr>
      <w:r>
        <w:rPr>
          <w:b/>
          <w:bCs/>
        </w:rPr>
        <w:t xml:space="preserve">RFP 15 (consultant/agent/entity-on-behalf documents re membrane products, 2019 to present) — Medium.</w:t>
      </w:r>
      <w:r>
        <w:t xml:space="preserve"> </w:t>
      </w:r>
      <w:r>
        <w:t xml:space="preserve">The request is broad as to all membrane products and third-party sources. Narrow to JV, PureLine, NanoSieve, and relevant alleged trade secrets. Produce responsive reports/analyses prepared for Greenleaf and records in its possession or contractual control.</w:t>
      </w:r>
      <w:r>
        <w:t xml:space="preserve"> </w:t>
      </w:r>
      <w:r>
        <w:t xml:space="preserve">“</w:t>
      </w:r>
      <w:r>
        <w:t xml:space="preserve">Agents, representatives, consultants</w:t>
      </w:r>
      <w:r>
        <w:t xml:space="preserve">”</w:t>
      </w:r>
      <w:r>
        <w:t xml:space="preserve"> </w:t>
      </w:r>
      <w:r>
        <w:t xml:space="preserve">does not automatically create control over every independent third-party file. Review each consulting engagement for deliverables/access rights; the RFP’s phrasing cannot require Greenleaf to compel a nonparty where it has no right to do so. Any responsive records made for Greenleaf and held by Greenleaf remain producible.</w:t>
      </w:r>
    </w:p>
    <w:p>
      <w:pPr>
        <w:pStyle w:val="BodyText"/>
      </w:pPr>
      <w:r>
        <w:rPr>
          <w:b/>
          <w:bCs/>
        </w:rPr>
        <w:t xml:space="preserve">RFP 18 (JV revenues/costs/financial performance, 2019–2023) — Low.</w:t>
      </w:r>
      <w:r>
        <w:t xml:space="preserve"> </w:t>
      </w:r>
      <w:r>
        <w:t xml:space="preserve">This is materially tied to the JV, contract performance, and dissolution accounting. Produce responsive JV financial statements and reports available to Greenleaf, subject to AEO/Confidential designation, redaction of unrelated account information, and privilege review. Limit to JV records rather than general Greenleaf financials. JV Agreement §8.1 provides the parties inspection rights to JV books and records, reinforcing the relevance of this narrow category.</w:t>
      </w:r>
    </w:p>
    <w:p>
      <w:pPr>
        <w:pStyle w:val="BodyText"/>
      </w:pPr>
      <w:r>
        <w:rPr>
          <w:b/>
          <w:bCs/>
        </w:rPr>
        <w:t xml:space="preserve">RFP 20 (Greenleaf’s $14.3 million JV contribution and later advances) — Low.</w:t>
      </w:r>
      <w:r>
        <w:t xml:space="preserve"> </w:t>
      </w:r>
      <w:r>
        <w:t xml:space="preserve">Directly relevant to the JV Agreement’s capital contribution terms. Produce responsive funding notices, wire confirmations, accounting entries, and records of later JV contributions/loans in Greenleaf’s possession; protect account numbers. No broad relevance objection is recommended.</w:t>
      </w:r>
    </w:p>
    <w:bookmarkEnd w:id="25"/>
    <w:bookmarkStart w:id="26" w:name="X53299dfb2bc6f2d0685427ff95d091d76319ee4"/>
    <w:p>
      <w:pPr>
        <w:pStyle w:val="Heading3"/>
      </w:pPr>
      <w:r>
        <w:t xml:space="preserve">5. Personnel privacy and employee-related requests</w:t>
      </w:r>
    </w:p>
    <w:p>
      <w:pPr>
        <w:pStyle w:val="FirstParagraph"/>
      </w:pPr>
      <w:r>
        <w:rPr>
          <w:b/>
          <w:bCs/>
        </w:rPr>
        <w:t xml:space="preserve">RFP 33 (complete personnel files for all 23 JV engineers and all PureLine employees) — High.</w:t>
      </w:r>
      <w:r>
        <w:t xml:space="preserve"> </w:t>
      </w:r>
      <w:r>
        <w:t xml:space="preserve">Object under Rules 26(b)(1) and 26(c) on relevance, proportionality, and employee privacy grounds. Caspian’s nine employees’ files are not Greenleaf’s to produce absent possession/control. For Greenleaf personnel, offer a narrow set: employment dates, title/role, JV/PureLine assignments, relevant access to NanoSieve/Joint IP, and relevant confidentiality/invention-assignment agreements. Exclude compensation, benefits, medical/enrollment, performance, discipline, and unrelated personal material absent a specific showing. Limit to relevant Greenleaf JV engineers and PureLine personnel; do not produce every employee who had any incidental involvement without identifying relevance. Use redaction and AEO for sensitive details.</w:t>
      </w:r>
    </w:p>
    <w:p>
      <w:pPr>
        <w:pStyle w:val="BodyText"/>
      </w:pPr>
      <w:r>
        <w:rPr>
          <w:b/>
          <w:bCs/>
        </w:rPr>
        <w:t xml:space="preserve">RFP 17 (roles, work assignments, time reports, and secondment records for all 23 engineers) — Medium.</w:t>
      </w:r>
      <w:r>
        <w:t xml:space="preserve"> </w:t>
      </w:r>
      <w:r>
        <w:t xml:space="preserve">Produce Greenleaf-held staffing plans, JV assignments, and reasonably available time/effort records showing each Greenleaf engineer’s role and JV allocation, as relevant to contributions, access, and Joint IP. JV Agreement §§6.1–6.3 and 7.2 make staffing and collaborative development relevant. Object to documents solely in Caspian’s possession/control and to unrelated employee/pay information. Do not infer that Greenleaf has Caspian’s personnel records; provide shared JV documents held by Greenleaf.</w:t>
      </w:r>
    </w:p>
    <w:p>
      <w:pPr>
        <w:pStyle w:val="BodyText"/>
      </w:pPr>
      <w:r>
        <w:rPr>
          <w:b/>
          <w:bCs/>
        </w:rPr>
        <w:t xml:space="preserve">RFP 34 (NDAs, confidentiality, invention-assignment, and restrictive-covenant agreements) — Medium.</w:t>
      </w:r>
      <w:r>
        <w:t xml:space="preserve"> </w:t>
      </w:r>
      <w:r>
        <w:t xml:space="preserve">The confidentiality and invention-assignment documents for Greenleaf personnel who worked on the JV, accessed NanoSieve/Joint IP, or worked on PureLine are relevant to protection, access, and ownership. Produce responsive Greenleaf agreements or relevant provisions; redact unrelated personal/business terms if appropriate. Limit to those relevant individuals and agreements. Caspian employee agreements are outside Greenleaf’s control unless actually held by Greenleaf.</w:t>
      </w:r>
    </w:p>
    <w:p>
      <w:pPr>
        <w:pStyle w:val="BodyText"/>
      </w:pPr>
      <w:r>
        <w:rPr>
          <w:b/>
          <w:bCs/>
        </w:rPr>
        <w:t xml:space="preserve">RFP 26 (Kevin Ostrowski employment/departure records) — Medium.</w:t>
      </w:r>
      <w:r>
        <w:t xml:space="preserve"> </w:t>
      </w:r>
      <w:r>
        <w:t xml:space="preserve">His JV/PureLine role, access, obligations at departure, return of information, and later employment by Caspian are relevant. Produce responsive offer/employment terms, confidentiality/IP/restrictive-covenant agreements, separation/exit/return-of-property records, and communications about those subjects. Object to unrelated compensation, benefits, or personal HR data and redact as appropriate. Collect only records in Greenleaf’s possession/custody/control; he left October 15, 2023 and joined Caspian December 1, 2023, so his later personal accounts are not automatically Greenleaf-controlled.</w:t>
      </w:r>
    </w:p>
    <w:p>
      <w:pPr>
        <w:pStyle w:val="BodyText"/>
      </w:pPr>
      <w:r>
        <w:rPr>
          <w:b/>
          <w:bCs/>
        </w:rPr>
        <w:t xml:space="preserve">RFP 42 (all communications with Ostrowski after departure) — Medium.</w:t>
      </w:r>
      <w:r>
        <w:t xml:space="preserve"> </w:t>
      </w:r>
      <w:r>
        <w:t xml:space="preserve">Narrow to communications about the JV, NanoSieve/Joint IP, PureLine, Greenleaf confidential information, return of company property, his departure obligations, Caspian, or Helix; exclude unrelated personal communications and call records that do not reflect relevant content. Search Greenleaf-held email, text, and other business communications. Preserve and produce relevant business communications even if on a company device; do not assume control over Ostrowski’s post-departure accounts/devices.</w:t>
      </w:r>
    </w:p>
    <w:bookmarkEnd w:id="26"/>
    <w:bookmarkStart w:id="27" w:name="Xa7fb07ebd96037df9764e41f43128fe12add784"/>
    <w:p>
      <w:pPr>
        <w:pStyle w:val="Heading3"/>
      </w:pPr>
      <w:r>
        <w:t xml:space="preserve">6. Other focused requests, duplication, and recommended production</w:t>
      </w:r>
    </w:p>
    <w:p>
      <w:pPr>
        <w:pStyle w:val="FirstParagraph"/>
      </w:pPr>
      <w:r>
        <w:rPr>
          <w:b/>
          <w:bCs/>
        </w:rPr>
        <w:t xml:space="preserve">RFP 1 (initial-disclosure materials) — Low.</w:t>
      </w:r>
      <w:r>
        <w:t xml:space="preserve"> </w:t>
      </w:r>
      <w:r>
        <w:t xml:space="preserve">Produce responsive documents supporting Greenleaf’s Rule 26(a)(1) disclosures that have not already been produced; identify prior Bates ranges rather than duplicating production. Preserve privilege objections for any specific protected document.</w:t>
      </w:r>
    </w:p>
    <w:p>
      <w:pPr>
        <w:pStyle w:val="BodyText"/>
      </w:pPr>
      <w:r>
        <w:rPr>
          <w:b/>
          <w:bCs/>
        </w:rPr>
        <w:t xml:space="preserve">RFP 2 (executed JV and Dissolution Agreements and incorporated materials) — Low.</w:t>
      </w:r>
      <w:r>
        <w:t xml:space="preserve"> </w:t>
      </w:r>
      <w:r>
        <w:t xml:space="preserve">Produce the executed agreements and responsive exhibits/schedules. Do not object to the core contracts. The JV Agreement’s integration provision (§15.1) does not alone make negotiation materials irrelevant to formation, performance, or the parties’ conduct.</w:t>
      </w:r>
    </w:p>
    <w:p>
      <w:pPr>
        <w:pStyle w:val="BodyText"/>
      </w:pPr>
      <w:r>
        <w:rPr>
          <w:b/>
          <w:bCs/>
        </w:rPr>
        <w:t xml:space="preserve">RFP 4 (JV Agreement negotiation, 2018–January 2019) — Medium.</w:t>
      </w:r>
      <w:r>
        <w:t xml:space="preserve"> </w:t>
      </w:r>
      <w:r>
        <w:t xml:space="preserve">The period aligns with pre-JV negotiations identified in the hold. Produce nonprivileged exchanges/drafts and relevant negotiation materials, subject to specific internal legal-advice/work-product review. JV Agreement §15.1 states that prior drafts/course of dealing are not used to construe the contract; that clause is not a complete discovery bar, particularly where formation, performance, or conduct is disputed. Avoid duplicative collection with RFP 21.</w:t>
      </w:r>
    </w:p>
    <w:p>
      <w:pPr>
        <w:pStyle w:val="BodyText"/>
      </w:pPr>
      <w:r>
        <w:rPr>
          <w:b/>
          <w:bCs/>
        </w:rPr>
        <w:t xml:space="preserve">RFP 6 (board/executive records concerning JV, dissolution, or PureLine, 2018 to present) — Medium.</w:t>
      </w:r>
      <w:r>
        <w:t xml:space="preserve"> </w:t>
      </w:r>
      <w:r>
        <w:t xml:space="preserve">Produce responsive minutes, resolutions, agendas, and distributed materials within those defined topics; review for privileged legal advice and duplicate materials. No company-wide board archives beyond the specified subjects.</w:t>
      </w:r>
    </w:p>
    <w:p>
      <w:pPr>
        <w:pStyle w:val="BodyText"/>
      </w:pPr>
      <w:r>
        <w:rPr>
          <w:b/>
          <w:bCs/>
        </w:rPr>
        <w:t xml:space="preserve">RFP 10 (Greenleaf/Caspian JV operating and governance communications, 2019–September 2023) — Low.</w:t>
      </w:r>
      <w:r>
        <w:t xml:space="preserve"> </w:t>
      </w:r>
      <w:r>
        <w:t xml:space="preserve">This is substantially relevant and temporally tailored. Produce responsive, nonprivileged JV communications and records; apply privilege review to internal legal advice, and avoid duplicating the same documents produced under RFPs 4, 11, 21, or 23.</w:t>
      </w:r>
    </w:p>
    <w:p>
      <w:pPr>
        <w:pStyle w:val="BodyText"/>
      </w:pPr>
      <w:r>
        <w:rPr>
          <w:b/>
          <w:bCs/>
        </w:rPr>
        <w:t xml:space="preserve">RFP 11 (Dissolution Agreement negotiation/execution, January–June 2023) — Medium.</w:t>
      </w:r>
      <w:r>
        <w:t xml:space="preserve"> </w:t>
      </w:r>
      <w:r>
        <w:t xml:space="preserve">Produce nonprivileged drafts/exchanges, allocation proposals, and supporting valuation materials concerning dissolution. Review internal confidential legal advice and attorney work product individually; communications exchanged with Caspian are not privileged simply because counsel drafted them. Dissolution Agreement §2.4’s no-fault language does not make the underlying negotiation irrelevant.</w:t>
      </w:r>
    </w:p>
    <w:p>
      <w:pPr>
        <w:pStyle w:val="BodyText"/>
      </w:pPr>
      <w:r>
        <w:rPr>
          <w:b/>
          <w:bCs/>
        </w:rPr>
        <w:t xml:space="preserve">RFP 13 (asset/liability allocation and valuation) — Low.</w:t>
      </w:r>
      <w:r>
        <w:t xml:space="preserve"> </w:t>
      </w:r>
      <w:r>
        <w:t xml:space="preserve">Produce responsive dissolution schedules, appraisals, and records of the agreed $3.8 million equipment allocation and other JV asset/liability distributions under Dissolution Agreement §§3.1–3.7. Use the PO for financial/commercial sensitivity; review for actual privilege. No need to produce unrelated Greenleaf asset valuations.</w:t>
      </w:r>
    </w:p>
    <w:p>
      <w:pPr>
        <w:pStyle w:val="BodyText"/>
      </w:pPr>
      <w:r>
        <w:rPr>
          <w:b/>
          <w:bCs/>
        </w:rPr>
        <w:t xml:space="preserve">RFP 21 (Holt–Subramaniam communications, 2018 to present) — Medium.</w:t>
      </w:r>
      <w:r>
        <w:t xml:space="preserve"> </w:t>
      </w:r>
      <w:r>
        <w:t xml:space="preserve">The specified participants and subjects are relevant, though the time span and subjects overlap RFPs 4, 10, 11, and 30. Produce responsive business communications; exclude unrelated communications and do not duplicate prior Bates ranges. Review communications solely with counsel for privilege, and preserve the January 2018–present timeframe for relevant pre-JV and post-dissolution matters.</w:t>
      </w:r>
    </w:p>
    <w:p>
      <w:pPr>
        <w:pStyle w:val="BodyText"/>
      </w:pPr>
      <w:r>
        <w:rPr>
          <w:b/>
          <w:bCs/>
        </w:rPr>
        <w:t xml:space="preserve">RFP 23 (dissolution data segregation/return, July–September 2023) — High.</w:t>
      </w:r>
      <w:r>
        <w:t xml:space="preserve"> </w:t>
      </w:r>
      <w:r>
        <w:t xml:space="preserve">The Dissolution Agreement §§5.2–5.5 makes these records directly relevant. Produce nonprivileged inventories, transfer/return records, certifications, and communications with Caspian concerning compliance. Review counsel-directed forensic reports and legal advice for work product/privilege. The litigation-hold obligation may explain retention of an archival copy under §5.5; do not infer or concede noncompliance from preservation alone.</w:t>
      </w:r>
    </w:p>
    <w:p>
      <w:pPr>
        <w:pStyle w:val="BodyText"/>
      </w:pPr>
      <w:r>
        <w:rPr>
          <w:b/>
          <w:bCs/>
        </w:rPr>
        <w:t xml:space="preserve">RFP 25 (PureLine project authorization/funding, around April 3, 2023) — Low.</w:t>
      </w:r>
      <w:r>
        <w:t xml:space="preserve"> </w:t>
      </w:r>
      <w:r>
        <w:t xml:space="preserve">Produce project charter, approvals, budgets, and decision records bearing on the project’s inception and independent development, subject to privilege review and AEO protection. The request is focused; identify if a responsive record does not exist rather than creating one.</w:t>
      </w:r>
    </w:p>
    <w:p>
      <w:pPr>
        <w:pStyle w:val="BodyText"/>
      </w:pPr>
      <w:r>
        <w:rPr>
          <w:b/>
          <w:bCs/>
        </w:rPr>
        <w:t xml:space="preserve">RFP 28 (all Greenleaf communications with any filtration competitor, 2019 to present) — Medium.</w:t>
      </w:r>
      <w:r>
        <w:t xml:space="preserve"> </w:t>
      </w:r>
      <w:r>
        <w:t xml:space="preserve">Caspian’s counterclaim specifically alleges disclosure of Greenleaf confidential information to Helix. Narrow to Helix communications concerning the JV, Greenleaf confidential information, NanoSieve/Joint IP, PureLine, or the alleged disclosure; include another competitor only where a concrete relevant subject exists. Exclude all unrelated competitor communications with Triton, AquaPrime, and others. Protect third-party material under the PO and review counsel communications.</w:t>
      </w:r>
    </w:p>
    <w:p>
      <w:pPr>
        <w:pStyle w:val="BodyText"/>
      </w:pPr>
      <w:r>
        <w:rPr>
          <w:b/>
          <w:bCs/>
        </w:rPr>
        <w:t xml:space="preserve">RFP 29 (third-party agreements/negotiations concerning JV-developed IP) — Low.</w:t>
      </w:r>
      <w:r>
        <w:t xml:space="preserve"> </w:t>
      </w:r>
      <w:r>
        <w:t xml:space="preserve">Produce responsive agreements, licenses, assignments, disclosure permissions, and negotiations concerning Joint IP, with focus on alleged third-party disclosure (including Helix). Apply PO protection and privilege review. Limit to IP developed in or arising from the JV; exclude unrelated Greenleaf IP transactions.</w:t>
      </w:r>
    </w:p>
    <w:p>
      <w:pPr>
        <w:pStyle w:val="BodyText"/>
      </w:pPr>
      <w:r>
        <w:rPr>
          <w:b/>
          <w:bCs/>
        </w:rPr>
        <w:t xml:space="preserve">RFP 30 (Greenleaf/Caspian communications after dissolution, July 2023 to present) — Medium.</w:t>
      </w:r>
      <w:r>
        <w:t xml:space="preserve"> </w:t>
      </w:r>
      <w:r>
        <w:t xml:space="preserve">Relevant to wind-down, surviving confidentiality/IP obligations, PureLine, Helix, and the dispute. Narrow to those subjects and avoid unrelated communications; produce nonprivileged communications exchanged with Caspian. Review internal counsel advice separately and cross-reference RFPs 10, 11, 21, and 23 to avoid duplicate production.</w:t>
      </w:r>
    </w:p>
    <w:p>
      <w:pPr>
        <w:pStyle w:val="BodyText"/>
      </w:pPr>
      <w:r>
        <w:rPr>
          <w:b/>
          <w:bCs/>
        </w:rPr>
        <w:t xml:space="preserve">RFP 32 (training/policies for handling Caspian confidential information/NanoSieve) — Medium.</w:t>
      </w:r>
      <w:r>
        <w:t xml:space="preserve"> </w:t>
      </w:r>
      <w:r>
        <w:t xml:space="preserve">Relevant to reasonable secrecy measures and access. Produce operative nonprivileged policies, relevant training materials, signed acknowledgments, and attendance records for Greenleaf personnel who handled or could access JV/NanoSieve information, from the JV period through dissolution and relevant post-dissolution handling. Exclude company-wide unrelated training; segregate embedded legal advice.</w:t>
      </w:r>
    </w:p>
    <w:p>
      <w:pPr>
        <w:pStyle w:val="BodyText"/>
      </w:pPr>
      <w:r>
        <w:rPr>
          <w:b/>
          <w:bCs/>
        </w:rPr>
        <w:t xml:space="preserve">RFP 41 (all documents supporting, contradicting, or relating to every affirmative defense/counterclaim) — Medium.</w:t>
      </w:r>
      <w:r>
        <w:t xml:space="preserve"> </w:t>
      </w:r>
      <w:r>
        <w:t xml:space="preserve">Object to the catch-all’s breadth and lack of request-specific subject limits under Rules 26(b)(1) and 34(b)(1)(A), while producing nonprivileged responsive documents tied to identified defenses/counterclaims. Ask Caspian to identify the particular factual theories it seeks; propose documents concerning PureLine/NanoSieve, independent development, Joint IP, alleged Helix disclosure, and damages as applicable.</w:t>
      </w:r>
      <w:r>
        <w:t xml:space="preserve"> </w:t>
      </w:r>
      <w:r>
        <w:t xml:space="preserve">“</w:t>
      </w:r>
      <w:r>
        <w:t xml:space="preserve">Contradict</w:t>
      </w:r>
      <w:r>
        <w:t xml:space="preserve">”</w:t>
      </w:r>
      <w:r>
        <w:t xml:space="preserve"> </w:t>
      </w:r>
      <w:r>
        <w:t xml:space="preserve">does not excuse withholding adverse responsive evidence. Do not provide counsel’s legal analysis or litigation strategy; identify prior productions and avoid duplicating other RFPs.</w:t>
      </w:r>
    </w:p>
    <w:p>
      <w:pPr>
        <w:pStyle w:val="BodyText"/>
      </w:pPr>
      <w:r>
        <w:rPr>
          <w:b/>
          <w:bCs/>
        </w:rPr>
        <w:t xml:space="preserve">RFP 45 (public statements, filings, investor/analyst materials referencing PureLine, NanoSieve, or JV) — Low.</w:t>
      </w:r>
      <w:r>
        <w:t xml:space="preserve"> </w:t>
      </w:r>
      <w:r>
        <w:t xml:space="preserve">Produce responsive statements issued by or for Greenleaf and responsive materials in its possession/control. Limit</w:t>
      </w:r>
      <w:r>
        <w:t xml:space="preserve"> </w:t>
      </w:r>
      <w:r>
        <w:t xml:space="preserve">“</w:t>
      </w:r>
      <w:r>
        <w:t xml:space="preserve">concerning Greenleaf</w:t>
      </w:r>
      <w:r>
        <w:t xml:space="preserve">”</w:t>
      </w:r>
      <w:r>
        <w:t xml:space="preserve"> </w:t>
      </w:r>
      <w:r>
        <w:t xml:space="preserve">analyst reports or third-party materials to those actually held by Greenleaf and bearing on the specified subjects; no duty to retrieve every third-party report or public posting. Most directly relevant Greenleaf statements are likely low burden.</w:t>
      </w:r>
    </w:p>
    <w:bookmarkEnd w:id="27"/>
    <w:bookmarkEnd w:id="28"/>
    <w:bookmarkStart w:id="29" w:name="X5727f9e6eebd44c058e0280d25c468ab0d0cc4c"/>
    <w:p>
      <w:pPr>
        <w:pStyle w:val="Heading2"/>
      </w:pPr>
      <w:r>
        <w:t xml:space="preserve">Proposed meet-and-confer agenda and action list</w:t>
      </w:r>
    </w:p>
    <w:p>
      <w:pPr>
        <w:pStyle w:val="Compact"/>
        <w:numPr>
          <w:ilvl w:val="0"/>
          <w:numId w:val="1001"/>
        </w:numPr>
      </w:pPr>
      <w:r>
        <w:t xml:space="preserve">Confirm the patent-number discrepancy and request Caspian’s identification of the asserted trade secrets, patents, and specific PureLine features allegedly derived from them. Maintain searches for both NanoSieve patent lists pending resolution.</w:t>
      </w:r>
    </w:p>
    <w:p>
      <w:pPr>
        <w:pStyle w:val="Compact"/>
        <w:numPr>
          <w:ilvl w:val="0"/>
          <w:numId w:val="1001"/>
        </w:numPr>
      </w:pPr>
      <w:r>
        <w:t xml:space="preserve">Agree the principal date windows: January 1, 2018 forward for relevant JV/NanoSieve/Greenleaf development records; April 3, 2023 forward for PureLine project records; and targeted pre-2018 source records only where specifically relevant. Acknowledge the hold’s different purpose from production scope.</w:t>
      </w:r>
    </w:p>
    <w:p>
      <w:pPr>
        <w:pStyle w:val="Compact"/>
        <w:numPr>
          <w:ilvl w:val="0"/>
          <w:numId w:val="1001"/>
        </w:numPr>
      </w:pPr>
      <w:r>
        <w:t xml:space="preserve">Agree a staged ESI protocol for SAP/Windchill and relevant custodians, including fields, metadata, search terms, sampling, deduplication, and cost estimates; do not produce full database dumps.</w:t>
      </w:r>
    </w:p>
    <w:p>
      <w:pPr>
        <w:pStyle w:val="Compact"/>
        <w:numPr>
          <w:ilvl w:val="0"/>
          <w:numId w:val="1001"/>
        </w:numPr>
      </w:pPr>
      <w:r>
        <w:t xml:space="preserve">Seek agreement to a categorical privilege-log protocol for coherent, high-volume categories, subject to Local Rule 26.2 and adequate descriptions; otherwise prepare a compliant itemized log. Identify privilege/work-product categories and discuss a Rule 502(d) order if useful.</w:t>
      </w:r>
    </w:p>
    <w:p>
      <w:pPr>
        <w:pStyle w:val="Compact"/>
        <w:numPr>
          <w:ilvl w:val="0"/>
          <w:numId w:val="1001"/>
        </w:numPr>
      </w:pPr>
      <w:r>
        <w:t xml:space="preserve">Agree AEO treatment and any supplemental technical safeguards for PureLine manufacturing/design material, detailed cost models, lender material, and third-party confidential records. Confirm that</w:t>
      </w:r>
      <w:r>
        <w:t xml:space="preserve"> </w:t>
      </w:r>
      <w:r>
        <w:t xml:space="preserve">“</w:t>
      </w:r>
      <w:r>
        <w:t xml:space="preserve">Highly Confidential</w:t>
      </w:r>
      <w:r>
        <w:t xml:space="preserve">”</w:t>
      </w:r>
      <w:r>
        <w:t xml:space="preserve"> </w:t>
      </w:r>
      <w:r>
        <w:t xml:space="preserve">means the PO’s AEO designation only if agreed.</w:t>
      </w:r>
    </w:p>
    <w:p>
      <w:pPr>
        <w:pStyle w:val="Compact"/>
        <w:numPr>
          <w:ilvl w:val="0"/>
          <w:numId w:val="1001"/>
        </w:numPr>
      </w:pPr>
      <w:r>
        <w:t xml:space="preserve">Narrow employee-file production to relevant roles, access, assignments, and confidentiality/IP agreements; exclude compensation, benefits, medical, discipline, and unrelated performance records absent a concrete showing.</w:t>
      </w:r>
    </w:p>
    <w:p>
      <w:pPr>
        <w:pStyle w:val="Compact"/>
        <w:numPr>
          <w:ilvl w:val="0"/>
          <w:numId w:val="1001"/>
        </w:numPr>
      </w:pPr>
      <w:r>
        <w:t xml:space="preserve">Ask Caspian to use Rule 45 for auditor/lender records it seeks from nonparties when Greenleaf lacks possession, custody, or a legal right to obtain them. Confirm the Sterling Ark and Ridgepoint contract provisions before taking a final control position.</w:t>
      </w:r>
    </w:p>
    <w:p>
      <w:pPr>
        <w:pStyle w:val="Compact"/>
        <w:numPr>
          <w:ilvl w:val="0"/>
          <w:numId w:val="1001"/>
        </w:numPr>
      </w:pPr>
      <w:r>
        <w:t xml:space="preserve">Request a two-week response extension promptly and continue work toward September 11. If any extension implicates a Court-set deadline or CMO ¶12, secure advance Court approval; otherwise document any permissible Rule 29 agreement in writing. Complete the CMO ¶9 lead-counsel telephone/in-person meet-and-confer and certify it if a discovery motion becomes necessary.</w:t>
      </w:r>
    </w:p>
    <w:p>
      <w:pPr>
        <w:pStyle w:val="FirstParagraph"/>
      </w:pPr>
      <w:r>
        <w:rPr>
          <w:b/>
          <w:bCs/>
        </w:rPr>
        <w:t xml:space="preserve">Bottom line:</w:t>
      </w:r>
      <w:r>
        <w:t xml:space="preserve"> </w:t>
      </w:r>
      <w:r>
        <w:t xml:space="preserve">Preserve broadly, respond specifically, produce the clearly relevant JV/PureLine records, and support each objection with a concrete limit and a workable alternative. The strongest positions are targeted privilege/work-product protection, limiting irrelevant all-business/all-product-line scope, and preventing wholesale database or personnel-file production—not a refusal to produce the core JV, NanoSieve, PureLine, dissolution, and Helix-related evidence.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2026-09-27T00:19:15Z</dcterms:created>
  <dcterms:modified xsi:type="dcterms:W3CDTF">2026-09-27T00:19:15Z</dcterms:modified>
</cp:coreProperties>
</file>

<file path=docProps/custom.xml><?xml version="1.0" encoding="utf-8"?>
<Properties xmlns="http://schemas.openxmlformats.org/officeDocument/2006/custom-properties" xmlns:vt="http://schemas.openxmlformats.org/officeDocument/2006/docPropsVTypes"/>
</file>