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PRIVILEGED &amp; CONFIDENTIAL</w:t>
        <w:br/>
        <w:t>ATTORNEY-CLIENT COMMUNICATION / ATTORNEY WORK PRODUCT</w:t>
      </w:r>
    </w:p>
    <w:p>
      <w:pPr>
        <w:spacing w:after="120"/>
        <w:jc w:val="center"/>
      </w:pPr>
      <w:r>
        <w:rPr>
          <w:b/>
          <w:i w:val="0"/>
        </w:rPr>
        <w:t>WHITFIELD &amp; CRANE LLP</w:t>
      </w:r>
    </w:p>
    <w:p>
      <w:pPr>
        <w:spacing w:after="120"/>
        <w:jc w:val="center"/>
      </w:pPr>
      <w:r>
        <w:rPr>
          <w:b/>
          <w:i w:val="0"/>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D9E2F3"/>
          </w:tcPr>
          <w:p>
            <w:r/>
            <w:r>
              <w:rPr>
                <w:b/>
                <w:sz w:val="19"/>
              </w:rPr>
            </w:r>
          </w:p>
        </w:tc>
        <w:tc>
          <w:tcPr>
            <w:tcW w:type="dxa" w:w="7920"/>
            <w:shd w:val="clear" w:color="auto" w:fill="D9E2F3"/>
          </w:tcPr>
          <w:p>
            <w:r/>
            <w:r>
              <w:rPr>
                <w:b/>
                <w:sz w:val="19"/>
              </w:rPr>
            </w:r>
          </w:p>
        </w:tc>
      </w:tr>
      <w:tr>
        <w:tc>
          <w:tcPr>
            <w:tcW w:type="dxa" w:w="1440"/>
          </w:tcPr>
          <w:p>
            <w:r/>
            <w:r>
              <w:rPr>
                <w:sz w:val="19"/>
              </w:rPr>
              <w:t>TO:</w:t>
            </w:r>
          </w:p>
        </w:tc>
        <w:tc>
          <w:tcPr>
            <w:tcW w:type="dxa" w:w="7920"/>
          </w:tcPr>
          <w:p>
            <w:r/>
            <w:r>
              <w:rPr>
                <w:sz w:val="19"/>
              </w:rPr>
              <w:t>Julia Ashford, Partner; Daniel Kerrigan, Senior Associate</w:t>
            </w:r>
          </w:p>
        </w:tc>
      </w:tr>
      <w:tr>
        <w:tc>
          <w:tcPr>
            <w:tcW w:type="dxa" w:w="1440"/>
          </w:tcPr>
          <w:p>
            <w:r/>
            <w:r>
              <w:rPr>
                <w:sz w:val="19"/>
              </w:rPr>
              <w:t>FROM:</w:t>
            </w:r>
          </w:p>
        </w:tc>
        <w:tc>
          <w:tcPr>
            <w:tcW w:type="dxa" w:w="7920"/>
          </w:tcPr>
          <w:p>
            <w:r/>
            <w:r>
              <w:rPr>
                <w:sz w:val="19"/>
              </w:rPr>
              <w:t>[Junior Associate], Discovery Team</w:t>
            </w:r>
          </w:p>
        </w:tc>
      </w:tr>
      <w:tr>
        <w:tc>
          <w:tcPr>
            <w:tcW w:type="dxa" w:w="1440"/>
          </w:tcPr>
          <w:p>
            <w:r/>
            <w:r>
              <w:rPr>
                <w:sz w:val="19"/>
              </w:rPr>
              <w:t>DATE:</w:t>
            </w:r>
          </w:p>
        </w:tc>
        <w:tc>
          <w:tcPr>
            <w:tcW w:type="dxa" w:w="7920"/>
          </w:tcPr>
          <w:p>
            <w:r/>
            <w:r>
              <w:rPr>
                <w:sz w:val="19"/>
              </w:rPr>
              <w:t>August 22, 2024</w:t>
            </w:r>
          </w:p>
        </w:tc>
      </w:tr>
      <w:tr>
        <w:tc>
          <w:tcPr>
            <w:tcW w:type="dxa" w:w="1440"/>
          </w:tcPr>
          <w:p>
            <w:r/>
            <w:r>
              <w:rPr>
                <w:sz w:val="19"/>
              </w:rPr>
              <w:t>RE:</w:t>
            </w:r>
          </w:p>
        </w:tc>
        <w:tc>
          <w:tcPr>
            <w:tcW w:type="dxa" w:w="7920"/>
          </w:tcPr>
          <w:p>
            <w:r/>
            <w:r>
              <w:rPr>
                <w:sz w:val="19"/>
              </w:rPr>
              <w:t>Caspian Environmental Technologies, LLC v. Greenleaf Industrial Solutions, Inc., No. 3:24-cv-00412-RJC (W.D.N.C.) — Issue Identification: Plaintiff's First Set of Requests for Production (Nos. 1–46)</w:t>
            </w:r>
          </w:p>
        </w:tc>
      </w:tr>
    </w:tbl>
    <w:p/>
    <w:p>
      <w:pPr>
        <w:pStyle w:val="Heading1"/>
      </w:pPr>
      <w:r>
        <w:t>I. Executive Summary</w:t>
      </w:r>
    </w:p>
    <w:p>
      <w:pPr>
        <w:spacing w:after="120"/>
      </w:pPr>
      <w:r>
        <w:rPr>
          <w:b w:val="0"/>
          <w:i w:val="0"/>
        </w:rPr>
        <w:t xml:space="preserve">This memorandum catalogues the objectionable, overbroad, unduly burdensome, privileged, or otherwise problematic requests in Caspian's First Set of RFPs (served August 12, 2024; responses due </w:t>
      </w:r>
      <w:r>
        <w:rPr>
          <w:b/>
          <w:i w:val="0"/>
        </w:rPr>
        <w:t>September 11, 2024</w:t>
      </w:r>
      <w:r>
        <w:rPr>
          <w:b w:val="0"/>
          <w:i w:val="0"/>
        </w:rPr>
        <w:t>). I reviewed each request against the executed JV Agreement (Jan. 15, 2019), the executed Dissolution Agreement (June 12, 2023), the Case Management Order (Dkt. 28), the Stipulated Protective Order (Dkt. 34), Patricia Yuen's Litigation Hold Memorandum (Feb. 12, 2024), and Dan's August 14 strategy email. The analysis is organized by issue category as requested; Appendix A is a request-by-request chart covering all 46 RFPs.</w:t>
      </w:r>
    </w:p>
    <w:p>
      <w:pPr>
        <w:spacing w:after="120"/>
      </w:pPr>
      <w:r>
        <w:rPr>
          <w:b w:val="0"/>
          <w:i w:val="0"/>
        </w:rPr>
      </w:r>
      <w:r>
        <w:rPr>
          <w:b/>
          <w:i w:val="0"/>
        </w:rPr>
        <w:t>Bottom line.</w:t>
      </w:r>
      <w:r>
        <w:rPr>
          <w:b w:val="0"/>
          <w:i w:val="0"/>
        </w:rPr>
        <w:t xml:space="preserve"> Of the 46 requests, roughly 12 call for a substantive "produce-with-no-or-minimal-objection" response (e.g., Nos. 1, 2, 10, 18, 20, 21, 23, 29, 32, 34, 39, 42). Most of the rest are core-relevant but overbroad and can be narrowed. A smaller group needs firm objection: No. 31 (privilege), No. 46 (litigation hold), No. 35 (internal investigation), No. 19 (lender), No. 33 (personnel files), No. 36 (databases), No. 9 (full PureLine 400 technical package), and the 2009-forward requests (Nos. 3, 7, 14, 22).</w:t>
      </w:r>
    </w:p>
    <w:p>
      <w:pPr>
        <w:spacing w:after="120"/>
      </w:pPr>
      <w:r>
        <w:rPr>
          <w:b w:val="0"/>
          <w:i w:val="0"/>
        </w:rPr>
      </w:r>
      <w:r>
        <w:rPr>
          <w:b/>
          <w:i w:val="0"/>
        </w:rPr>
        <w:t>Items that need action before the September 11 deadline — several of which the strategy email did not anticipate:</w:t>
      </w:r>
      <w:r>
        <w:rPr>
          <w:b w:val="0"/>
          <w:i w:val="0"/>
        </w:rPr>
      </w:r>
    </w:p>
    <w:p>
      <w:pPr>
        <w:pStyle w:val="ListBullet"/>
      </w:pPr>
      <w:r>
        <w:rPr>
          <w:b w:val="0"/>
        </w:rPr>
      </w:r>
      <w:r>
        <w:rPr>
          <w:b/>
        </w:rPr>
        <w:t>Extension requires Court approval.</w:t>
      </w:r>
      <w:r>
        <w:rPr>
          <w:b w:val="0"/>
        </w:rPr>
        <w:t xml:space="preserve"> CMO § 12 provides that "[s]tipulated extensions of deadlines require advance approval of the Court; stipulations between the parties alone are insufficient." If Megan Forsythe agrees to a two-week extension, we should file a joint/consent motion promptly rather than rely on a letter agreement. Until an order is entered, we should plan to serve on September 11. (Although Rule 29(b) generally permits stipulated extensions of Rule 34 response times, the CMO controls here and we should not risk a waiver-of-objections argument.)</w:t>
      </w:r>
    </w:p>
    <w:p>
      <w:pPr>
        <w:pStyle w:val="ListBullet"/>
      </w:pPr>
      <w:r>
        <w:rPr>
          <w:b w:val="0"/>
        </w:rPr>
      </w:r>
      <w:r>
        <w:rPr>
          <w:b/>
        </w:rPr>
        <w:t>The Protective Order contains no clawback / Rule 502(d) provision.</w:t>
      </w:r>
      <w:r>
        <w:rPr>
          <w:b w:val="0"/>
        </w:rPr>
        <w:t xml:space="preserve"> PO §§ 1.4, 9 and 15.4 expressly disclaim any procedure for inadvertently produced privileged material. With ~950,000 post-dedup documents and thousands of privileged communications, we should propose a stipulated Fed. R. Evid. 502(d) order (non-waiver regardless of care taken) before the first production. This is the single most important protective step for the RFP 31 problem.</w:t>
      </w:r>
    </w:p>
    <w:p>
      <w:pPr>
        <w:pStyle w:val="ListBullet"/>
      </w:pPr>
      <w:r>
        <w:rPr>
          <w:b w:val="0"/>
        </w:rPr>
      </w:r>
      <w:r>
        <w:rPr>
          <w:b/>
        </w:rPr>
        <w:t>Meet-and-confer must be a real-time conversation between lead counsel.</w:t>
      </w:r>
      <w:r>
        <w:rPr>
          <w:b w:val="0"/>
        </w:rPr>
        <w:t xml:space="preserve"> CMO § 9 says correspondence alone does not satisfy the obligation. Julia should be on the call with Ms. Forsythe/Mr. Beckett.</w:t>
      </w:r>
    </w:p>
    <w:p>
      <w:pPr>
        <w:pStyle w:val="ListBullet"/>
      </w:pPr>
      <w:r>
        <w:rPr>
          <w:b w:val="0"/>
        </w:rPr>
      </w:r>
      <w:r>
        <w:rPr>
          <w:b/>
        </w:rPr>
        <w:t>Counterclaim II cites the wrong section — amendment deadline is August 30, 2024.</w:t>
      </w:r>
      <w:r>
        <w:rPr>
          <w:b w:val="0"/>
        </w:rPr>
        <w:t xml:space="preserve"> Greenleaf's counterclaim (as described in the CMO and hold memo) alleges breach of "JV Agreement § 11.3." Section 11.3 is the *survival / return-or-destroy* provision; the disclosure prohibition is § 11.1(a), and the Helix-specific prohibition is Dissolution Agreement § 7.4 (which expressly names Helix Waterworks, Triton, and AquaPrime). We should consider a motion to amend (or confirm the pleading already cites the correct provisions) before the CMO § 2 deadline of </w:t>
      </w:r>
      <w:r>
        <w:rPr>
          <w:b/>
        </w:rPr>
        <w:t>August 30, 2024</w:t>
      </w:r>
      <w:r>
        <w:rPr>
          <w:b w:val="0"/>
        </w:rPr>
        <w:t>, after which good cause is required. This also affects how we frame relevance for RFP 28.</w:t>
      </w:r>
    </w:p>
    <w:p>
      <w:pPr>
        <w:pStyle w:val="ListBullet"/>
      </w:pPr>
      <w:r>
        <w:rPr>
          <w:b w:val="0"/>
        </w:rPr>
      </w:r>
      <w:r>
        <w:rPr>
          <w:b/>
        </w:rPr>
        <w:t>Preservation gaps may surface through RFPs 3, 7, 14, 16, 22, 38 and 46 and Instruction No. 4.</w:t>
      </w:r>
      <w:r>
        <w:rPr>
          <w:b w:val="0"/>
        </w:rPr>
        <w:t xml:space="preserve"> The hold runs only from January 1, 2018, covers 14 custodians (only some of the 14 Greenleaf JV engineers), and was issued February 12, 2024 — four days after suit, although our firm was engaged from ~March 2023 and claims were threatened before filing. Backup rotation was halted only February 9, 2024. Before we certify responses under Rule 26(g), we need to confirm what pre-2018 material exists and whether the hold should be expanded (see Part IV.K).</w:t>
      </w:r>
    </w:p>
    <w:p>
      <w:pPr>
        <w:pStyle w:val="ListBullet"/>
      </w:pPr>
      <w:r>
        <w:rPr>
          <w:b w:val="0"/>
        </w:rPr>
      </w:r>
      <w:r>
        <w:rPr>
          <w:b/>
        </w:rPr>
        <w:t>Independent-development defense cuts against a blanket 2018 cut-off.</w:t>
      </w:r>
      <w:r>
        <w:rPr>
          <w:b w:val="0"/>
        </w:rPr>
        <w:t xml:space="preserve"> Greenleaf's defense rests on its Background IP (JV Agr. § 7.4; Ex. C) and the "independently developed ... as evidenced by ... contemporaneous written records" exception (JV Agr. § 11.2(b); Diss. Agr. § 7.3(c)). If we intend to prove pre-JV membrane capability, we cannot simultaneously refuse all pre-2018 membrane R&amp;D. The temporal objection should be calibrated accordingly (Part IV.B).</w:t>
      </w:r>
    </w:p>
    <w:p>
      <w:pPr>
        <w:pStyle w:val="ListBullet"/>
      </w:pPr>
      <w:r>
        <w:rPr>
          <w:b w:val="0"/>
        </w:rPr>
      </w:r>
      <w:r>
        <w:rPr>
          <w:b/>
        </w:rPr>
        <w:t>Document discrepancies that bear on scope.</w:t>
      </w:r>
      <w:r>
        <w:rPr>
          <w:b w:val="0"/>
        </w:rPr>
        <w:t xml:space="preserve"> (i) The four NanoSieve patent numbers in JV Agreement Ex. A (Nos. 9,415,327; 9,612,884; 9,788,210; 9,901,553) do not match those in the Dissolution Agreement definition (Nos. 9,814,221; 9,927,453; 10,118,667; 10,245,891). (ii) JV Agreement Ex. C lists eleven Greenleaf product lines that do not include PureLine 400, while the hold memo describes PureLine 400 as one of Greenleaf's eleven lines. (iii) The Sterling Ark credit agreement and Ridgepoint engagement letter referenced in the email are not in the file provided to me, so the "Section 10.08" confidentiality provision and any auditor document-access terms remain </w:t>
      </w:r>
      <w:r>
        <w:rPr>
          <w:b/>
        </w:rPr>
        <w:t>unverified</w:t>
      </w:r>
      <w:r>
        <w:rPr>
          <w:b w:val="0"/>
        </w:rPr>
        <w:t>. Each needs to be resolved with the client before we rely on it in written responses.</w:t>
      </w:r>
    </w:p>
    <w:p>
      <w:pPr>
        <w:pStyle w:val="Heading1"/>
      </w:pPr>
      <w:r>
        <w:t>II. Background and Framework</w:t>
      </w:r>
    </w:p>
    <w:p>
      <w:pPr>
        <w:pStyle w:val="Heading2"/>
      </w:pPr>
      <w:r>
        <w:t>A. Claims and defenses that define relevance</w:t>
      </w:r>
    </w:p>
    <w:p>
      <w:pPr>
        <w:spacing w:after="120"/>
      </w:pPr>
      <w:r>
        <w:rPr>
          <w:b w:val="0"/>
          <w:i w:val="0"/>
        </w:rPr>
        <w:t>Relevance under Rule 26(b)(1) is measured against the claims and defenses: Caspian's claims for (1) breach of the JV Agreement, (2) DTSA and (3) NCTSPA misappropriation, (4) unjust enrichment, and (5) UDTPA; and Greenleaf's counterclaims for (1) a declaratory judgment that PureLine 400 does not infringe Caspian IP and (2) breach of confidentiality through disclosure to Helix Waterworks. Key contractual anchors:</w:t>
      </w:r>
    </w:p>
    <w:p>
      <w:pPr>
        <w:pStyle w:val="ListBullet"/>
      </w:pPr>
      <w:r>
        <w:rPr>
          <w:b w:val="0"/>
        </w:rPr>
        <w:t>JV formed Jan. 15, 2019; dissolved June 30, 2023; wind-down July 1 – Sept. 30, 2023 (Diss. Agr. §§ 2.1, 5.1).</w:t>
      </w:r>
    </w:p>
    <w:p>
      <w:pPr>
        <w:pStyle w:val="ListBullet"/>
      </w:pPr>
      <w:r>
        <w:rPr>
          <w:b w:val="0"/>
        </w:rPr>
        <w:t>JV Purpose limited to membrane-based filtration products for industrial water treatment (JV Agr. §§ 3.1–3.3); exclusivity during the Term (§ 3.3) expressly excludes Greenleaf's existing product lines and non-membrane products.</w:t>
      </w:r>
    </w:p>
    <w:p>
      <w:pPr>
        <w:pStyle w:val="ListBullet"/>
      </w:pPr>
      <w:r>
        <w:rPr>
          <w:b w:val="0"/>
        </w:rPr>
        <w:t>NanoSieve license terminated at dissolution (JV Agr. § 7.3(c)); post-dissolution use prohibited (Diss. Agr. § 4.1). Non-compete on Joint IP runs through June 30, 2025 (Diss. Agr. §§ 6.1, 6.4); Joint IP royalties begin July 1, 2025 (Diss. Agr. Ex. B).</w:t>
      </w:r>
    </w:p>
    <w:p>
      <w:pPr>
        <w:pStyle w:val="ListBullet"/>
      </w:pPr>
      <w:r>
        <w:rPr>
          <w:b w:val="0"/>
        </w:rPr>
        <w:t xml:space="preserve">PureLine 400 R&amp;D was initiated </w:t>
      </w:r>
      <w:r>
        <w:rPr>
          <w:b/>
        </w:rPr>
        <w:t>April 3, 2023</w:t>
      </w:r>
      <w:r>
        <w:rPr>
          <w:b w:val="0"/>
        </w:rPr>
        <w:t xml:space="preserve"> — during the JV Term and before the Dissolution Agreement was signed — and launched November 15, 2023 (hold memo § 2). Expect Caspian to focus heavily on this timeline under the § 3.3 exclusivity covenant; requests aimed at PureLine 400's origin (Nos. 9, 24, 25, 35, 36, 39) are core and difficult to resist wholesale.</w:t>
      </w:r>
    </w:p>
    <w:p>
      <w:pPr>
        <w:pStyle w:val="ListBullet"/>
      </w:pPr>
      <w:r>
        <w:rPr>
          <w:b w:val="0"/>
        </w:rPr>
        <w:t>Seconded engineers remained employees of their home party (JV Agr. §§ 6.1, 6.3); each was required to sign confidentiality and invention-assignment agreements (§ 6.5); returning personnel were subject to exit interviews and device audits (Diss. Agr. § 5.6).</w:t>
      </w:r>
    </w:p>
    <w:p>
      <w:pPr>
        <w:pStyle w:val="ListBullet"/>
      </w:pPr>
      <w:r>
        <w:rPr>
          <w:b w:val="0"/>
        </w:rPr>
        <w:t>Damages cap of $26M under the Dissolution Agreement does not apply to misappropriation or willful misconduct (Diss. Agr. § 9.2) — which increases Caspian's incentive to pursue financial discovery.</w:t>
      </w:r>
    </w:p>
    <w:p>
      <w:pPr>
        <w:pStyle w:val="Heading2"/>
      </w:pPr>
      <w:r>
        <w:t>B. Governing discovery standards</w:t>
      </w:r>
    </w:p>
    <w:p>
      <w:pPr>
        <w:pStyle w:val="ListBullet"/>
      </w:pPr>
      <w:r>
        <w:rPr>
          <w:b w:val="0"/>
        </w:rPr>
      </w:r>
      <w:r>
        <w:rPr>
          <w:b/>
        </w:rPr>
        <w:t>Rule 26(b)(1):</w:t>
      </w:r>
      <w:r>
        <w:rPr>
          <w:b w:val="0"/>
        </w:rPr>
        <w:t xml:space="preserve"> relevance plus proportionality (importance of issues, amount in controversy, relative access, resources, importance of discovery, burden vs. benefit).</w:t>
      </w:r>
    </w:p>
    <w:p>
      <w:pPr>
        <w:pStyle w:val="ListBullet"/>
      </w:pPr>
      <w:r>
        <w:rPr>
          <w:b w:val="0"/>
        </w:rPr>
      </w:r>
      <w:r>
        <w:rPr>
          <w:b/>
        </w:rPr>
        <w:t>Rule 26(b)(2)(B)–(C):</w:t>
      </w:r>
      <w:r>
        <w:rPr>
          <w:b w:val="0"/>
        </w:rPr>
        <w:t xml:space="preserve"> ESI not reasonably accessible (e.g., backup tapes); court must limit cumulative, duplicative, or disproportionate discovery.</w:t>
      </w:r>
    </w:p>
    <w:p>
      <w:pPr>
        <w:pStyle w:val="ListBullet"/>
      </w:pPr>
      <w:r>
        <w:rPr>
          <w:b w:val="0"/>
        </w:rPr>
      </w:r>
      <w:r>
        <w:rPr>
          <w:b/>
        </w:rPr>
        <w:t>Rule 26(b)(3), (b)(5)(A):</w:t>
      </w:r>
      <w:r>
        <w:rPr>
          <w:b w:val="0"/>
        </w:rPr>
        <w:t xml:space="preserve"> work product; privilege log requirement. </w:t>
      </w:r>
      <w:r>
        <w:rPr>
          <w:b/>
        </w:rPr>
        <w:t>Rule 26(c)(1)(G):</w:t>
      </w:r>
      <w:r>
        <w:rPr>
          <w:b w:val="0"/>
        </w:rPr>
        <w:t xml:space="preserve"> protection for trade secrets and confidential commercial information.</w:t>
      </w:r>
    </w:p>
    <w:p>
      <w:pPr>
        <w:pStyle w:val="ListBullet"/>
      </w:pPr>
      <w:r>
        <w:rPr>
          <w:b w:val="0"/>
        </w:rPr>
      </w:r>
      <w:r>
        <w:rPr>
          <w:b/>
        </w:rPr>
        <w:t>Rule 34(b)(2)(B)–(C):</w:t>
      </w:r>
      <w:r>
        <w:rPr>
          <w:b w:val="0"/>
        </w:rPr>
        <w:t xml:space="preserve"> objections must be stated "with specificity," and each response must state whether responsive materials are being withheld on the basis of the objection. Generalized/boilerplate objections are routinely disregarded by district courts in the Fourth Circuit; each objection below should be request-specific. Where we agree to produce a narrowed scope, the response should say so expressly and state a reasonable completion date (Rule 34(b)(2)(B)).</w:t>
      </w:r>
    </w:p>
    <w:p>
      <w:pPr>
        <w:pStyle w:val="ListBullet"/>
      </w:pPr>
      <w:r>
        <w:rPr>
          <w:b w:val="0"/>
        </w:rPr>
      </w:r>
      <w:r>
        <w:rPr>
          <w:b/>
        </w:rPr>
        <w:t>Rule 26(g):</w:t>
      </w:r>
      <w:r>
        <w:rPr>
          <w:b w:val="0"/>
        </w:rPr>
        <w:t xml:space="preserve"> signing counsel certifies reasonable inquiry — relevant to how we describe pre-2018 and third-party materials.</w:t>
      </w:r>
    </w:p>
    <w:p>
      <w:pPr>
        <w:pStyle w:val="ListBullet"/>
      </w:pPr>
      <w:r>
        <w:rPr>
          <w:b w:val="0"/>
        </w:rPr>
      </w:r>
      <w:r>
        <w:rPr>
          <w:b/>
        </w:rPr>
        <w:t>Rule 45:</w:t>
      </w:r>
      <w:r>
        <w:rPr>
          <w:b w:val="0"/>
        </w:rPr>
        <w:t xml:space="preserve"> proper vehicle for documents held by non-parties (Ridgepoint, Sterling Ark, Ostrowski personally).</w:t>
      </w:r>
    </w:p>
    <w:p>
      <w:pPr>
        <w:spacing w:after="120"/>
      </w:pPr>
      <w:r>
        <w:rPr>
          <w:b w:val="0"/>
          <w:i/>
        </w:rPr>
        <w:t>Note on authorities: case citations below are offered as starting points and must be cite-checked (and supplemented with W.D.N.C. / Fourth Circuit authority) before use in any filed paper or correspondence. I have also not independently verified the content of "Local Rule 26.2" referenced in Plaintiff's Instruction No. 3.</w:t>
      </w:r>
    </w:p>
    <w:p>
      <w:pPr>
        <w:pStyle w:val="Heading1"/>
      </w:pPr>
      <w:r>
        <w:t>III. Objections to Definitions and Instructions</w:t>
      </w:r>
    </w:p>
    <w:p>
      <w:pPr>
        <w:spacing w:after="120"/>
      </w:pPr>
      <w:r>
        <w:rPr>
          <w:b w:val="0"/>
          <w:i w:val="0"/>
        </w:rPr>
        <w:t>These should be stated once, specifically, in a "Objections to Definitions and Instructions" section — not as a boilerplate "General Objections" block incorporated into every response.</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D9E2F3"/>
          </w:tcPr>
          <w:p>
            <w:r/>
            <w:r>
              <w:rPr>
                <w:b/>
                <w:sz w:val="19"/>
              </w:rPr>
              <w:t>Definition / Instruction</w:t>
            </w:r>
          </w:p>
        </w:tc>
        <w:tc>
          <w:tcPr>
            <w:tcW w:type="dxa" w:w="3168"/>
            <w:shd w:val="clear" w:color="auto" w:fill="D9E2F3"/>
          </w:tcPr>
          <w:p>
            <w:r/>
            <w:r>
              <w:rPr>
                <w:b/>
                <w:sz w:val="19"/>
              </w:rPr>
              <w:t>Problem</w:t>
            </w:r>
          </w:p>
        </w:tc>
        <w:tc>
          <w:tcPr>
            <w:tcW w:type="dxa" w:w="3312"/>
            <w:shd w:val="clear" w:color="auto" w:fill="D9E2F3"/>
          </w:tcPr>
          <w:p>
            <w:r/>
            <w:r>
              <w:rPr>
                <w:b/>
                <w:sz w:val="19"/>
              </w:rPr>
              <w:t>Recommended response</w:t>
            </w:r>
          </w:p>
        </w:tc>
        <w:tc>
          <w:tcPr>
            <w:tcW w:type="dxa" w:w="1008"/>
            <w:shd w:val="clear" w:color="auto" w:fill="D9E2F3"/>
          </w:tcPr>
          <w:p>
            <w:r/>
            <w:r>
              <w:rPr>
                <w:b/>
                <w:sz w:val="19"/>
              </w:rPr>
              <w:t>Priority</w:t>
            </w:r>
          </w:p>
        </w:tc>
      </w:tr>
      <w:tr>
        <w:tc>
          <w:tcPr>
            <w:tcW w:type="dxa" w:w="1872"/>
          </w:tcPr>
          <w:p>
            <w:r/>
            <w:r>
              <w:rPr>
                <w:sz w:val="19"/>
              </w:rPr>
              <w:t>Def. 3 ("You," "Greenleaf")</w:t>
            </w:r>
          </w:p>
        </w:tc>
        <w:tc>
          <w:tcPr>
            <w:tcW w:type="dxa" w:w="3168"/>
          </w:tcPr>
          <w:p>
            <w:r/>
            <w:r>
              <w:rPr>
                <w:sz w:val="19"/>
              </w:rPr>
              <w:t>Includes former employees, agents, "representatives," affiliates, and anyone "purporting to act" on Greenleaf's behalf — sweeps in outside counsel (privilege), auditors, lender, and Kevin Ostrowski (now employed by Caspian).</w:t>
            </w:r>
          </w:p>
        </w:tc>
        <w:tc>
          <w:tcPr>
            <w:tcW w:type="dxa" w:w="3312"/>
          </w:tcPr>
          <w:p>
            <w:r/>
            <w:r>
              <w:rPr>
                <w:sz w:val="19"/>
              </w:rPr>
              <w:t>Construe as Greenleaf and its current officers, directors and employees acting in that capacity; state that Greenleaf will not collect from outside counsel, Ridgepoint, Sterling Ark, or former employees.</w:t>
            </w:r>
          </w:p>
        </w:tc>
        <w:tc>
          <w:tcPr>
            <w:tcW w:type="dxa" w:w="1008"/>
            <w:shd w:val="clear" w:color="auto" w:fill="F4CCCC"/>
          </w:tcPr>
          <w:p>
            <w:r/>
            <w:r>
              <w:rPr>
                <w:sz w:val="19"/>
              </w:rPr>
              <w:t>HIGH</w:t>
            </w:r>
          </w:p>
        </w:tc>
      </w:tr>
      <w:tr>
        <w:tc>
          <w:tcPr>
            <w:tcW w:type="dxa" w:w="1872"/>
          </w:tcPr>
          <w:p>
            <w:r/>
            <w:r>
              <w:rPr>
                <w:sz w:val="19"/>
              </w:rPr>
              <w:t>Def. 8 ("NanoSieve Technology")</w:t>
            </w:r>
          </w:p>
        </w:tc>
        <w:tc>
          <w:tcPr>
            <w:tcW w:type="dxa" w:w="3168"/>
          </w:tcPr>
          <w:p>
            <w:r/>
            <w:r>
              <w:rPr>
                <w:sz w:val="19"/>
              </w:rPr>
              <w:t>Includes anything "derived from" the technology — assumes the contested conclusion; does not identify the asserted trade secrets; patent list conflicts between JV Ex. A and Diss. Agr. Art. I.</w:t>
            </w:r>
          </w:p>
        </w:tc>
        <w:tc>
          <w:tcPr>
            <w:tcW w:type="dxa" w:w="3312"/>
          </w:tcPr>
          <w:p>
            <w:r/>
            <w:r>
              <w:rPr>
                <w:sz w:val="19"/>
              </w:rPr>
              <w:t>Object as vague and argumentative; construe as the patents/applications listed in JV Agr. Ex. A and the trade secrets Caspian identifies with reasonable particularity (see Part IV.I). Ask Caspian to confirm which patent numbers are correct.</w:t>
            </w:r>
          </w:p>
        </w:tc>
        <w:tc>
          <w:tcPr>
            <w:tcW w:type="dxa" w:w="1008"/>
            <w:shd w:val="clear" w:color="auto" w:fill="F4CCCC"/>
          </w:tcPr>
          <w:p>
            <w:r/>
            <w:r>
              <w:rPr>
                <w:sz w:val="19"/>
              </w:rPr>
              <w:t>HIGH</w:t>
            </w:r>
          </w:p>
        </w:tc>
      </w:tr>
      <w:tr>
        <w:tc>
          <w:tcPr>
            <w:tcW w:type="dxa" w:w="1872"/>
          </w:tcPr>
          <w:p>
            <w:r/>
            <w:r>
              <w:rPr>
                <w:sz w:val="19"/>
              </w:rPr>
              <w:t>Def. 9 ("PureLine 400")</w:t>
            </w:r>
          </w:p>
        </w:tc>
        <w:tc>
          <w:tcPr>
            <w:tcW w:type="dxa" w:w="3168"/>
          </w:tcPr>
          <w:p>
            <w:r/>
            <w:r>
              <w:rPr>
                <w:sz w:val="19"/>
              </w:rPr>
              <w:t>Includes "derivative products" and unnamed variants.</w:t>
            </w:r>
          </w:p>
        </w:tc>
        <w:tc>
          <w:tcPr>
            <w:tcW w:type="dxa" w:w="3312"/>
          </w:tcPr>
          <w:p>
            <w:r/>
            <w:r>
              <w:rPr>
                <w:sz w:val="19"/>
              </w:rPr>
              <w:t>Accept for commercially released PureLine 400 models and documented prototypes; object to open-ended "derivative" language.</w:t>
            </w:r>
          </w:p>
        </w:tc>
        <w:tc>
          <w:tcPr>
            <w:tcW w:type="dxa" w:w="1008"/>
            <w:shd w:val="clear" w:color="auto" w:fill="E2EFD9"/>
          </w:tcPr>
          <w:p>
            <w:r/>
            <w:r>
              <w:rPr>
                <w:sz w:val="19"/>
              </w:rPr>
              <w:t>LOW</w:t>
            </w:r>
          </w:p>
        </w:tc>
      </w:tr>
      <w:tr>
        <w:tc>
          <w:tcPr>
            <w:tcW w:type="dxa" w:w="1872"/>
          </w:tcPr>
          <w:p>
            <w:r/>
            <w:r>
              <w:rPr>
                <w:sz w:val="19"/>
              </w:rPr>
              <w:t>Def. 1 ("Document") / Def. 11 ("Relating to")</w:t>
            </w:r>
          </w:p>
        </w:tc>
        <w:tc>
          <w:tcPr>
            <w:tcW w:type="dxa" w:w="3168"/>
          </w:tcPr>
          <w:p>
            <w:r/>
            <w:r>
              <w:rPr>
                <w:sz w:val="19"/>
              </w:rPr>
              <w:t>"Any way pertinent" formulation, all drafts and non-identical copies; renders every "relating to" request overbroad.</w:t>
            </w:r>
          </w:p>
        </w:tc>
        <w:tc>
          <w:tcPr>
            <w:tcW w:type="dxa" w:w="3312"/>
          </w:tcPr>
          <w:p>
            <w:r/>
            <w:r>
              <w:rPr>
                <w:sz w:val="19"/>
              </w:rPr>
              <w:t>Object; apply ordinary meaning; de-duplicate; drafts only where maintained in the ordinary course.</w:t>
            </w:r>
          </w:p>
        </w:tc>
        <w:tc>
          <w:tcPr>
            <w:tcW w:type="dxa" w:w="1008"/>
            <w:shd w:val="clear" w:color="auto" w:fill="FFF2CC"/>
          </w:tcPr>
          <w:p>
            <w:r/>
            <w:r>
              <w:rPr>
                <w:sz w:val="19"/>
              </w:rPr>
              <w:t>MEDIUM</w:t>
            </w:r>
          </w:p>
        </w:tc>
      </w:tr>
      <w:tr>
        <w:tc>
          <w:tcPr>
            <w:tcW w:type="dxa" w:w="1872"/>
          </w:tcPr>
          <w:p>
            <w:r/>
            <w:r>
              <w:rPr>
                <w:sz w:val="19"/>
              </w:rPr>
              <w:t>Instr. 2 (organization)</w:t>
            </w:r>
          </w:p>
        </w:tc>
        <w:tc>
          <w:tcPr>
            <w:tcW w:type="dxa" w:w="3168"/>
          </w:tcPr>
          <w:p>
            <w:r/>
            <w:r>
              <w:rPr>
                <w:sz w:val="19"/>
              </w:rPr>
              <w:t>Requires both identifying custodian/source and preserving filing structure — beyond Rule 34(b)(2)(E)(i).</w:t>
            </w:r>
          </w:p>
        </w:tc>
        <w:tc>
          <w:tcPr>
            <w:tcW w:type="dxa" w:w="3312"/>
          </w:tcPr>
          <w:p>
            <w:r/>
            <w:r>
              <w:rPr>
                <w:sz w:val="19"/>
              </w:rPr>
              <w:t>Produce as kept in usual course with custodian metadata per an agreed ESI protocol.</w:t>
            </w:r>
          </w:p>
        </w:tc>
        <w:tc>
          <w:tcPr>
            <w:tcW w:type="dxa" w:w="1008"/>
            <w:shd w:val="clear" w:color="auto" w:fill="E2EFD9"/>
          </w:tcPr>
          <w:p>
            <w:r/>
            <w:r>
              <w:rPr>
                <w:sz w:val="19"/>
              </w:rPr>
              <w:t>LOW</w:t>
            </w:r>
          </w:p>
        </w:tc>
      </w:tr>
      <w:tr>
        <w:tc>
          <w:tcPr>
            <w:tcW w:type="dxa" w:w="1872"/>
          </w:tcPr>
          <w:p>
            <w:r/>
            <w:r>
              <w:rPr>
                <w:sz w:val="19"/>
              </w:rPr>
              <w:t>Instr. 3 (privilege log)</w:t>
            </w:r>
          </w:p>
        </w:tc>
        <w:tc>
          <w:tcPr>
            <w:tcW w:type="dxa" w:w="3168"/>
          </w:tcPr>
          <w:p>
            <w:r/>
            <w:r>
              <w:rPr>
                <w:sz w:val="19"/>
              </w:rPr>
              <w:t>Requires "factual basis" for each entry and every recipient; document-by-document log for thousands of counsel communications.</w:t>
            </w:r>
          </w:p>
        </w:tc>
        <w:tc>
          <w:tcPr>
            <w:tcW w:type="dxa" w:w="3312"/>
          </w:tcPr>
          <w:p>
            <w:r/>
            <w:r>
              <w:rPr>
                <w:sz w:val="19"/>
              </w:rPr>
              <w:t>Object to extent it exceeds Rule 26(b)(5)(A); propose that post-complaint (after Feb. 8, 2024) communications with litigation counsel need not be logged, and a categorical log for defined categories (Part IV.A).</w:t>
            </w:r>
          </w:p>
        </w:tc>
        <w:tc>
          <w:tcPr>
            <w:tcW w:type="dxa" w:w="1008"/>
            <w:shd w:val="clear" w:color="auto" w:fill="F4CCCC"/>
          </w:tcPr>
          <w:p>
            <w:r/>
            <w:r>
              <w:rPr>
                <w:sz w:val="19"/>
              </w:rPr>
              <w:t>HIGH</w:t>
            </w:r>
          </w:p>
        </w:tc>
      </w:tr>
      <w:tr>
        <w:tc>
          <w:tcPr>
            <w:tcW w:type="dxa" w:w="1872"/>
          </w:tcPr>
          <w:p>
            <w:r/>
            <w:r>
              <w:rPr>
                <w:sz w:val="19"/>
              </w:rPr>
              <w:t>Instr. 4 (lost/destroyed documents)</w:t>
            </w:r>
          </w:p>
        </w:tc>
        <w:tc>
          <w:tcPr>
            <w:tcW w:type="dxa" w:w="3168"/>
          </w:tcPr>
          <w:p>
            <w:r/>
            <w:r>
              <w:rPr>
                <w:sz w:val="19"/>
              </w:rPr>
              <w:t>Interrogatory-style demand for narrative about lost documents; not a Rule 34 obligation; could expose preservation issues.</w:t>
            </w:r>
          </w:p>
        </w:tc>
        <w:tc>
          <w:tcPr>
            <w:tcW w:type="dxa" w:w="3312"/>
          </w:tcPr>
          <w:p>
            <w:r/>
            <w:r>
              <w:rPr>
                <w:sz w:val="19"/>
              </w:rPr>
              <w:t>Object that it is not a proper Rule 34 instruction and counts toward the 25-interrogatory limit (CMO § 4(b)) if answered; respond only as required by Rule 34.</w:t>
            </w:r>
          </w:p>
        </w:tc>
        <w:tc>
          <w:tcPr>
            <w:tcW w:type="dxa" w:w="1008"/>
            <w:shd w:val="clear" w:color="auto" w:fill="FFF2CC"/>
          </w:tcPr>
          <w:p>
            <w:r/>
            <w:r>
              <w:rPr>
                <w:sz w:val="19"/>
              </w:rPr>
              <w:t>MEDIUM</w:t>
            </w:r>
          </w:p>
        </w:tc>
      </w:tr>
      <w:tr>
        <w:tc>
          <w:tcPr>
            <w:tcW w:type="dxa" w:w="1872"/>
          </w:tcPr>
          <w:p>
            <w:r/>
            <w:r>
              <w:rPr>
                <w:sz w:val="19"/>
              </w:rPr>
              <w:t>Instr. 5 (ESI incl. backup tapes)</w:t>
            </w:r>
          </w:p>
        </w:tc>
        <w:tc>
          <w:tcPr>
            <w:tcW w:type="dxa" w:w="3168"/>
          </w:tcPr>
          <w:p>
            <w:r/>
            <w:r>
              <w:rPr>
                <w:sz w:val="19"/>
              </w:rPr>
              <w:t>Backup tapes/archival systems not reasonably accessible.</w:t>
            </w:r>
          </w:p>
        </w:tc>
        <w:tc>
          <w:tcPr>
            <w:tcW w:type="dxa" w:w="3312"/>
          </w:tcPr>
          <w:p>
            <w:r/>
            <w:r>
              <w:rPr>
                <w:sz w:val="19"/>
              </w:rPr>
              <w:t>Object under Rule 26(b)(2)(B); will not restore backup media absent a showing of good cause and cost allocation.</w:t>
            </w:r>
          </w:p>
        </w:tc>
        <w:tc>
          <w:tcPr>
            <w:tcW w:type="dxa" w:w="1008"/>
            <w:shd w:val="clear" w:color="auto" w:fill="FFF2CC"/>
          </w:tcPr>
          <w:p>
            <w:r/>
            <w:r>
              <w:rPr>
                <w:sz w:val="19"/>
              </w:rPr>
              <w:t>MEDIUM</w:t>
            </w:r>
          </w:p>
        </w:tc>
      </w:tr>
      <w:tr>
        <w:tc>
          <w:tcPr>
            <w:tcW w:type="dxa" w:w="1872"/>
          </w:tcPr>
          <w:p>
            <w:r/>
            <w:r>
              <w:rPr>
                <w:sz w:val="19"/>
              </w:rPr>
              <w:t>Instr. 7 (time period)</w:t>
            </w:r>
          </w:p>
        </w:tc>
        <w:tc>
          <w:tcPr>
            <w:tcW w:type="dxa" w:w="3168"/>
          </w:tcPr>
          <w:p>
            <w:r/>
            <w:r>
              <w:rPr>
                <w:sz w:val="19"/>
              </w:rPr>
              <w:t>"Broadest time period relevant" — indeterminate.</w:t>
            </w:r>
          </w:p>
        </w:tc>
        <w:tc>
          <w:tcPr>
            <w:tcW w:type="dxa" w:w="3312"/>
          </w:tcPr>
          <w:p>
            <w:r/>
            <w:r>
              <w:rPr>
                <w:sz w:val="19"/>
              </w:rPr>
              <w:t>Default period: January 1, 2018 to February 8, 2024 (complaint date), except where specified otherwise below.</w:t>
            </w:r>
          </w:p>
        </w:tc>
        <w:tc>
          <w:tcPr>
            <w:tcW w:type="dxa" w:w="1008"/>
            <w:shd w:val="clear" w:color="auto" w:fill="FFF2CC"/>
          </w:tcPr>
          <w:p>
            <w:r/>
            <w:r>
              <w:rPr>
                <w:sz w:val="19"/>
              </w:rPr>
              <w:t>MEDIUM</w:t>
            </w:r>
          </w:p>
        </w:tc>
      </w:tr>
      <w:tr>
        <w:tc>
          <w:tcPr>
            <w:tcW w:type="dxa" w:w="1872"/>
          </w:tcPr>
          <w:p>
            <w:r/>
            <w:r>
              <w:rPr>
                <w:sz w:val="19"/>
              </w:rPr>
              <w:t>Instr. 8 (no redaction)</w:t>
            </w:r>
          </w:p>
        </w:tc>
        <w:tc>
          <w:tcPr>
            <w:tcW w:type="dxa" w:w="3168"/>
          </w:tcPr>
          <w:p>
            <w:r/>
            <w:r>
              <w:rPr>
                <w:sz w:val="19"/>
              </w:rPr>
              <w:t>Prohibits redaction except for privilege.</w:t>
            </w:r>
          </w:p>
        </w:tc>
        <w:tc>
          <w:tcPr>
            <w:tcW w:type="dxa" w:w="3312"/>
          </w:tcPr>
          <w:p>
            <w:r/>
            <w:r>
              <w:rPr>
                <w:sz w:val="19"/>
              </w:rPr>
              <w:t>Reserve right to redact non-responsive, highly sensitive information (e.g., other product lines, personal data) with a redaction log; alternatively rely on AEO designation.</w:t>
            </w:r>
          </w:p>
        </w:tc>
        <w:tc>
          <w:tcPr>
            <w:tcW w:type="dxa" w:w="1008"/>
            <w:shd w:val="clear" w:color="auto" w:fill="FFF2CC"/>
          </w:tcPr>
          <w:p>
            <w:r/>
            <w:r>
              <w:rPr>
                <w:sz w:val="19"/>
              </w:rPr>
              <w:t>MEDIUM</w:t>
            </w:r>
          </w:p>
        </w:tc>
      </w:tr>
    </w:tbl>
    <w:p/>
    <w:p>
      <w:pPr>
        <w:pStyle w:val="Heading1"/>
      </w:pPr>
      <w:r>
        <w:t>IV. Issue-by-Issue Analysis</w:t>
      </w:r>
    </w:p>
    <w:p>
      <w:pPr>
        <w:pStyle w:val="Heading2"/>
      </w:pPr>
      <w:r>
        <w:t>A. Attorney-Client Privilege and Work Product — Communications With Counsel</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31 (primary); also RFPs 6, 11, 13, 14, 35, 41, 46 to the extent they sweep in counsel materials</w:t>
            </w:r>
          </w:p>
        </w:tc>
        <w:tc>
          <w:tcPr>
            <w:tcW w:type="dxa" w:w="2304"/>
          </w:tcPr>
          <w:p>
            <w:r/>
            <w:r>
              <w:rPr>
                <w:sz w:val="19"/>
              </w:rPr>
              <w:t>['**Response:** Object on attorney-client privilege and work-product grounds; state affirmatively (Rule 34(b)(2)(C)) that Greenleaf is withholding privileged communications with counsel and will log them as described below. State that non-privileged documents within the scope (e.g., communications with Caspian\'s counsel, drafts exchanged with Caspian) will be produced in response to RFPs 4, 11 and 30. Do not make a blanket "all withheld" statement that implies nothing non-privileged exists.', '**Log format proposal for meet-and-confer:** (i) No logging of communications with Whitfield &amp; Crane or in-house counsel on or after **February 8, 2024** (complaint filed) concerning this litigation — offer reciprocity; (ii) categorical log for March 2023 – February 7, 2024 outside-counsel communications, by category (dissolution negotiation advice; Dissolution Agreement drafting; wind-down compliance advice; PureLine 400 IP/FTO analysis; pre-suit dispute strategy), with date ranges, participants, document counts and the privilege basis; (iii) document-by-document log for pre-March 2023 communications and for any mixed business/legal documents or documents involving third parties. Expect Beckett Sloane to push for a full itemized log; the post-complaint carve-out is the most commonly accepted compromise and should be our floor.', '**Rule 502(d) order:** Circulate a proposed stipulated 502(d) order with the extension request and ask to present it jointly with (or as a Section 12 modification of) the Protective Order before any production.', '**Review workflow:** Build privilege screens on counsel names/domains (Whitfield &amp; Crane, Yuen, patent counsel), run "primary purpose" second-level review for Yuen\'s non-legal communications and for board materials (RFP 6), and log redactions (not withhold) for mixed documents. Consider TAR/prioritized review given volume.', '**Client decision point:** Confirm whether Greenleaf intends to rely on advice of counsel (e.g., freedom-to-operate or non-infringement opinions for PureLine 400) to rebut willfulness under the DTSA (18 U.S.C. § 1836(b)(3)(C)–(D)) or to support the declaratory judgment counterclaim. Reliance would trigger an at-issue/subject-matter waiver and must be decided before we assert privilege over those opinions.']</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31 expressly seeks "all Communications between Greenleaf and any attorney, law firm, or legal advisor regarding the JV Agreement, the Dissolution Agreement, or the PureLine 400 product," from January 1, 2019 to present, including in-house, outside, and patent counsel. On its face it targets privileged material.</w:t>
      </w:r>
    </w:p>
    <w:p>
      <w:pPr>
        <w:pStyle w:val="ListBullet"/>
      </w:pPr>
      <w:r>
        <w:rPr>
          <w:b w:val="0"/>
        </w:rPr>
        <w:t>Scale: Whitfield &amp; Crane has advised Greenleaf since ~March 2023 on dissolution negotiations, drafting of the Dissolution Agreement, the wind-down, the PureLine 400 launch strategy and associated IP analysis, and the litigation. Patricia Yuen estimates thousands of privileged documents within a ~950,000-document universe.</w:t>
      </w:r>
    </w:p>
    <w:p>
      <w:pPr>
        <w:pStyle w:val="ListBullet"/>
      </w:pPr>
      <w:r>
        <w:rPr>
          <w:b w:val="0"/>
        </w:rPr>
        <w:t>Dual-role issue: Patricia Yuen (General Counsel) is a hold custodian and was involved in JV formation, dissolution and IP allocation. Communications where she acted in a business capacity are vulnerable.</w:t>
      </w:r>
    </w:p>
    <w:p>
      <w:pPr>
        <w:pStyle w:val="ListBullet"/>
      </w:pPr>
      <w:r>
        <w:rPr>
          <w:b w:val="0"/>
        </w:rPr>
        <w:t xml:space="preserve">Not everything with a lawyer on it is privileged: communications with </w:t>
      </w:r>
      <w:r>
        <w:rPr>
          <w:b/>
        </w:rPr>
        <w:t>Caspian's</w:t>
      </w:r>
      <w:r>
        <w:rPr>
          <w:b w:val="0"/>
        </w:rPr>
        <w:t xml:space="preserve"> counsel, drafts exchanged across the table during negotiation of either agreement, and executed documents are not privileged and are called for by RFPs 4 and 11 anyway.</w:t>
      </w:r>
    </w:p>
    <w:p>
      <w:pPr>
        <w:pStyle w:val="ListBullet"/>
      </w:pPr>
      <w:r>
        <w:rPr>
          <w:b w:val="0"/>
        </w:rPr>
        <w:t>No clawback: the Protective Order provides no Rule 502(b)/(d) mechanism (PO §§ 1.4, 9, 15.4 disclaim one), so an inadvertent production could be argued to waive privilege, including subject-matter waiver under FRE 502(a).</w:t>
      </w:r>
    </w:p>
    <w:p>
      <w:pPr>
        <w:spacing w:after="120"/>
      </w:pPr>
      <w:r>
        <w:rPr>
          <w:b w:val="0"/>
          <w:i w:val="0"/>
        </w:rPr>
      </w:r>
      <w:r>
        <w:rPr>
          <w:b/>
          <w:i w:val="0"/>
        </w:rPr>
        <w:t>Recommended objection / response and meet-and-confer position.</w:t>
      </w:r>
      <w:r>
        <w:rPr>
          <w:b w:val="0"/>
          <w:i w:val="0"/>
        </w:rPr>
      </w:r>
    </w:p>
    <w:p>
      <w:pPr>
        <w:pStyle w:val="ListBullet"/>
      </w:pPr>
      <w:r>
        <w:rPr>
          <w:b w:val="0"/>
        </w:rPr>
        <w:t>Attorney-client privilege: Upjohn Co. v. United States, 449 U.S. 383 (1981) (corporate privilege extends to communications with employees for purpose of legal advice); United States v. Jones, 696 F.2d 1069, 1072 (4th Cir. 1982) (elements); Hawkins v. Stables, 148 F.3d 379, 383 (4th Cir. 1998) (proponent's burden; privilege narrowly construed).</w:t>
      </w:r>
    </w:p>
    <w:p>
      <w:pPr>
        <w:pStyle w:val="ListBullet"/>
      </w:pPr>
      <w:r>
        <w:rPr>
          <w:b w:val="0"/>
        </w:rPr>
        <w:t>Work product: Fed. R. Civ. P. 26(b)(3); Hickman v. Taylor, 329 U.S. 495 (1947). Opinion work product (IP analyses of PureLine 400 prepared in anticipation of a Caspian claim) receives near-absolute protection.</w:t>
      </w:r>
    </w:p>
    <w:p>
      <w:pPr>
        <w:pStyle w:val="ListBullet"/>
      </w:pPr>
      <w:r>
        <w:rPr>
          <w:b w:val="0"/>
        </w:rPr>
        <w:t>Privilege logging burden: Fed. R. Civ. P. 26(b)(5)(A) (describe "in a manner that ... will enable other parties to assess the claim"); the Advisory Committee Note (1993) contemplates categorical descriptions where itemization would be unduly burdensome.</w:t>
      </w:r>
    </w:p>
    <w:p>
      <w:pPr>
        <w:pStyle w:val="ListBullet"/>
      </w:pPr>
      <w:r>
        <w:rPr>
          <w:b w:val="0"/>
        </w:rPr>
        <w:t>Fed. R. Evid. 502(d) (court order that disclosure in the litigation is not a waiver in this or any other proceeding).</w:t>
      </w:r>
    </w:p>
    <w:p>
      <w:pPr>
        <w:pStyle w:val="ListBullet"/>
      </w:pPr>
      <w:r>
        <w:rPr>
          <w:b w:val="0"/>
        </w:rPr>
        <w:t>Proportionality: Rule 26(b)(1) — the request as framed seeks privileged material almost exclusively; responsive non-privileged content is duplicated by RFPs 4, 11 and 30.</w:t>
      </w:r>
    </w:p>
    <w:p>
      <w:pPr>
        <w:spacing w:after="120"/>
      </w:pPr>
      <w:r>
        <w:rPr>
          <w:b w:val="0"/>
          <w:i w:val="0"/>
        </w:rPr>
      </w:r>
      <w:r>
        <w:rPr>
          <w:b/>
          <w:i w:val="0"/>
        </w:rPr>
        <w:t>Watch-outs.</w:t>
      </w:r>
      <w:r>
        <w:rPr>
          <w:b w:val="0"/>
          <w:i w:val="0"/>
        </w:rPr>
      </w:r>
    </w:p>
    <w:p>
      <w:pPr>
        <w:pStyle w:val="ListBullet"/>
      </w:pPr>
      <w:r>
        <w:rPr>
          <w:b w:val="0"/>
        </w:rPr>
        <w:t>PureLine 400 was initiated April 3, 2023 — shortly after our March 2023 engagement. Caspian may argue that launch-strategy communications are business, not legal, advice, or attempt a crime-fraud argument. The log descriptions for the "PureLine 400 IP analysis" category must be accurate and not overclaim.</w:t>
      </w:r>
    </w:p>
    <w:p>
      <w:pPr>
        <w:pStyle w:val="ListBullet"/>
      </w:pPr>
      <w:r>
        <w:rPr>
          <w:b w:val="0"/>
        </w:rPr>
        <w:t>Dan's email paraphrases RFP 31 as "any attorney or law firm"; the actual text also reaches "legal advisor[s]" and "patent counsel" and runs from January 1, 2019. Our response should track the actual language.</w:t>
      </w:r>
    </w:p>
    <w:p>
      <w:pPr>
        <w:pStyle w:val="Heading2"/>
      </w:pPr>
      <w:r>
        <w:t>B. Temporal Overbreadth — Requests Reaching Back to Greenleaf's 2009 Founding (and 2017)</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3, 7, 14, 22 (Jan. 1, 2009 forward); RFPs 16, 38 (2017 forward); Instr. 7 (indeterminate)</w:t>
            </w:r>
          </w:p>
        </w:tc>
        <w:tc>
          <w:tcPr>
            <w:tcW w:type="dxa" w:w="2304"/>
          </w:tcPr>
          <w:p>
            <w:r/>
            <w:r>
              <w:rPr>
                <w:sz w:val="19"/>
              </w:rPr>
              <w:t>['**Default window:** January 1, 2018 through February 8, 2024 (filing), with specific extensions: post-filing for PureLine 400 sales/financial data (damages) and for Ostrowski communications (RFP 42).', "**RFP 3 and RFP 14 carve-out:** Offer to produce, from any period, documents sufficient to show Greenleaf's membrane-filtration research and IP as of January 15, 2019 **to the extent Greenleaf relies on them** for its Background IP / independent-development position (e.g., Exhibit C technologies, invention disclosures, and patent filings). This preserves our defense and makes the objection defensible. Before serving, confirm with Sunita Rao and Nathan Cross whether any pre-2018 membrane R&amp;D exists; if it does and we intend to rely on it, extend the hold to it now.", '**RFP 7:** Offer organizational charts for R&amp;D, Engineering, Manufacturing and QA sufficient to show reporting lines for JV and PureLine 400 personnel, 2018–present.', '**RFP 22:** Limit to PureLine 400 business plans/forecasts and JV-related plans, 2018–present (see Part IV.C).', '**RFPs 16 and 38:** Accept 2018 forward (or mid-2017 if negotiations documents exist), subject to the subject-matter narrowing in Part IV.C.']</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Four requests (3, 7, 14, 22) seek documents from January 1, 2009 — Greenleaf's founding and ten years before the JV. The hold memo states that no relationship, negotiation, or NanoSieve interaction existed before 2018 and sets the preservation window at January 1, 2018 forward.</w:t>
      </w:r>
    </w:p>
    <w:p>
      <w:pPr>
        <w:pStyle w:val="ListBullet"/>
      </w:pPr>
      <w:r>
        <w:rPr>
          <w:b w:val="0"/>
        </w:rPr>
        <w:t>Nos. 16 and 38 go back to 2017; the hold memo states pre-JV negotiations began "approximately mid-2017 to early 2018," so some 2017 material could be relevant (a mutual NDA was executed October 22, 2018 — JV Agr. Ex. A, Part 3).</w:t>
      </w:r>
    </w:p>
    <w:p>
      <w:pPr>
        <w:pStyle w:val="ListBullet"/>
      </w:pPr>
      <w:r>
        <w:rPr>
          <w:b w:val="0"/>
        </w:rPr>
        <w:t>Volume context: 2.3 TB / ~950,000 documents for the 2018-forward window alone; a 2009 window would substantially increase collection from sources that are not under hold.</w:t>
      </w:r>
    </w:p>
    <w:p>
      <w:pPr>
        <w:pStyle w:val="ListBullet"/>
      </w:pPr>
      <w:r>
        <w:rPr>
          <w:b w:val="0"/>
        </w:rPr>
      </w:r>
      <w:r>
        <w:rPr>
          <w:b/>
        </w:rPr>
        <w:t>Complication:</w:t>
      </w:r>
      <w:r>
        <w:rPr>
          <w:b w:val="0"/>
        </w:rPr>
        <w:t xml:space="preserve"> Greenleaf's independent-development defense and its Background IP (JV Agr. § 7.4(b), Ex. C) depend on what Greenleaf owned or knew </w:t>
      </w:r>
      <w:r>
        <w:rPr>
          <w:b/>
        </w:rPr>
        <w:t>as of January 15, 2019</w:t>
      </w:r>
      <w:r>
        <w:rPr>
          <w:b w:val="0"/>
        </w:rPr>
        <w:t>. JV Agr. § 11.2(a)–(b) and Diss. Agr. § 7.3(b)–(c) require proof by "contemporaneous written records." Some pre-2018 membrane research (if any exists) may be both relevant and useful to Greenleaf.</w:t>
      </w:r>
    </w:p>
    <w:p>
      <w:pPr>
        <w:spacing w:after="120"/>
      </w:pPr>
      <w:r>
        <w:rPr>
          <w:b w:val="0"/>
          <w:i w:val="0"/>
        </w:rPr>
      </w:r>
      <w:r>
        <w:rPr>
          <w:b/>
          <w:i w:val="0"/>
        </w:rPr>
        <w:t>Recommended objection / response and meet-and-confer position.</w:t>
      </w:r>
      <w:r>
        <w:rPr>
          <w:b w:val="0"/>
          <w:i w:val="0"/>
        </w:rPr>
      </w:r>
    </w:p>
    <w:p>
      <w:pPr>
        <w:pStyle w:val="ListBullet"/>
      </w:pPr>
      <w:r>
        <w:rPr>
          <w:b w:val="0"/>
        </w:rPr>
        <w:t>Rule 26(b)(1) proportionality; Rule 26(b)(2)(C)(i), (iii).</w:t>
      </w:r>
    </w:p>
    <w:p>
      <w:pPr>
        <w:pStyle w:val="ListBullet"/>
      </w:pPr>
      <w:r>
        <w:rPr>
          <w:b w:val="0"/>
        </w:rPr>
        <w:t>Oppenheimer Fund, Inc. v. Sanders, 437 U.S. 340, 351–52 (1978) (discovery limited to matters bearing on issues in the case).</w:t>
      </w:r>
    </w:p>
    <w:p>
      <w:pPr>
        <w:pStyle w:val="ListBullet"/>
      </w:pPr>
      <w:r>
        <w:rPr>
          <w:b w:val="0"/>
        </w:rPr>
        <w:t>Rule 34(b)(1)(A) (requests must describe items with "reasonable particularity").</w:t>
      </w:r>
    </w:p>
    <w:p>
      <w:pPr>
        <w:spacing w:after="120"/>
      </w:pPr>
      <w:r>
        <w:rPr>
          <w:b w:val="0"/>
          <w:i w:val="0"/>
        </w:rPr>
      </w:r>
      <w:r>
        <w:rPr>
          <w:b/>
          <w:i w:val="0"/>
        </w:rPr>
        <w:t>Watch-outs.</w:t>
      </w:r>
      <w:r>
        <w:rPr>
          <w:b w:val="0"/>
          <w:i w:val="0"/>
        </w:rPr>
      </w:r>
    </w:p>
    <w:p>
      <w:pPr>
        <w:pStyle w:val="ListBullet"/>
      </w:pPr>
      <w:r>
        <w:rPr>
          <w:b w:val="0"/>
        </w:rPr>
        <w:t>Rule 26(g): do not state that pre-2018 documents "do not exist"; state that Greenleaf objects and will not search beyond the agreed window except as offered.</w:t>
      </w:r>
    </w:p>
    <w:p>
      <w:pPr>
        <w:pStyle w:val="Heading2"/>
      </w:pPr>
      <w:r>
        <w:t>C. Subject-Matter Overbreadth — All Eleven Product Lines, Strategy, and "Any Source" Requests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5, 8, 12, 16, 22, 27, 38 (and 28, 40 in part)</w:t>
            </w:r>
          </w:p>
        </w:tc>
        <w:tc>
          <w:tcPr>
            <w:tcW w:type="dxa" w:w="2304"/>
          </w:tcPr>
          <w:p>
            <w:r/>
            <w:r>
              <w:rPr>
                <w:sz w:val="19"/>
              </w:rPr>
              <w:t>['**RFPs 8, 12, 27:** Produce for PureLine 400 and for any other Greenleaf product that incorporates membrane-based filtration technology for industrial water treatment developed or modified since January 15, 2019 (this answers Caspian\'s likely "you may have put it elsewhere" argument and tracks JV Agr. § 3.3). For RFP 27, offer PureLine 400 revenue, units, pricing, COGS and margin data from launch to present, plus company-level filtration totals only if needed for cost allocation — AEO.', '**RFP 5 / RFP 38:** Limit to strategic, board and senior-management documents that discuss the JV, NanoSieve, membrane filtration, PureLine 400, or Caspian, 2018–present; redact unrelated portions.', '**RFP 16:** Limit to Greenleaf-authored analyses of membrane filtration technology and third-party materials actually used in PureLine 400 development; object to publicly available literature collections.', '**RFP 22:** Limit to PureLine 400 and JV-related forecasts and business cases (overlaps RFP 25).']</w:t>
            </w:r>
          </w:p>
        </w:tc>
      </w:tr>
    </w:tbl>
    <w:p/>
    <w:p>
      <w:pPr>
        <w:spacing w:after="120"/>
      </w:pPr>
      <w:r>
        <w:rPr>
          <w:b w:val="0"/>
          <w:i w:val="0"/>
        </w:rPr>
      </w:r>
      <w:r>
        <w:rPr>
          <w:b/>
          <w:i w:val="0"/>
        </w:rPr>
        <w:t>Nature of the problem.</w:t>
      </w:r>
      <w:r>
        <w:rPr>
          <w:b w:val="0"/>
          <w:i w:val="0"/>
        </w:rPr>
      </w:r>
    </w:p>
    <w:p>
      <w:pPr>
        <w:pStyle w:val="ListBullet"/>
      </w:pPr>
      <w:r>
        <w:rPr>
          <w:b w:val="0"/>
        </w:rPr>
        <w:t>M</w:t>
      </w:r>
    </w:p>
    <w:p>
      <w:pPr>
        <w:pStyle w:val="ListBullet"/>
      </w:pPr>
      <w:r>
        <w:rPr>
          <w:b w:val="0"/>
        </w:rPr>
        <w:t>E</w:t>
      </w:r>
    </w:p>
    <w:p>
      <w:pPr>
        <w:pStyle w:val="ListBullet"/>
      </w:pPr>
      <w:r>
        <w:rPr>
          <w:b w:val="0"/>
        </w:rPr>
        <w:t>D</w:t>
      </w:r>
    </w:p>
    <w:p>
      <w:pPr>
        <w:pStyle w:val="ListBullet"/>
      </w:pPr>
      <w:r>
        <w:rPr>
          <w:b w:val="0"/>
        </w:rPr>
        <w:t>I</w:t>
      </w:r>
    </w:p>
    <w:p>
      <w:pPr>
        <w:pStyle w:val="ListBullet"/>
      </w:pPr>
      <w:r>
        <w:rPr>
          <w:b w:val="0"/>
        </w:rPr>
        <w:t>U</w:t>
      </w:r>
    </w:p>
    <w:p>
      <w:pPr>
        <w:pStyle w:val="ListBullet"/>
      </w:pPr>
      <w:r>
        <w:rPr>
          <w:b w:val="0"/>
        </w:rPr>
        <w:t>M</w:t>
      </w:r>
    </w:p>
    <w:p>
      <w:pPr>
        <w:spacing w:after="120"/>
      </w:pPr>
      <w:r>
        <w:rPr>
          <w:b w:val="0"/>
          <w:i w:val="0"/>
        </w:rPr>
      </w:r>
      <w:r>
        <w:rPr>
          <w:b/>
          <w:i w:val="0"/>
        </w:rPr>
        <w:t>Legal basis for objection.</w:t>
      </w:r>
      <w:r>
        <w:rPr>
          <w:b w:val="0"/>
          <w:i w:val="0"/>
        </w:rPr>
      </w:r>
    </w:p>
    <w:p>
      <w:pPr>
        <w:pStyle w:val="ListBullet"/>
      </w:pPr>
      <w:r>
        <w:rPr>
          <w:b w:val="0"/>
        </w:rPr>
        <w:t>Verified: RFPs 8 (R&amp;D/commercialization of "all Greenleaf filtration products"), 12 (marketing for "all" product lines) and 27 (revenues/margins "for all Greenleaf filtration products ... by individual product line") reach all of Greenleaf's lines. RFP 22 (business plans for "filtration product lines") and RFP 5 (strategic plans for the industrial filtration market) do the same.</w:t>
      </w:r>
    </w:p>
    <w:p>
      <w:pPr>
        <w:pStyle w:val="ListBullet"/>
      </w:pPr>
      <w:r>
        <w:rPr>
          <w:b w:val="0"/>
        </w:rPr>
        <w:t>Only PureLine 400 is accused. JV Agr. § 3.2–3.3 expressly preserved Greenleaf's right to continue its existing non-membrane product lines; exclusivity carved out "(c) any Party's existing product lines as of the Effective Date." The hold memo likewise limits preservation to PureLine 400 absent a JV/NanoSieve nexus.</w:t>
      </w:r>
    </w:p>
    <w:p>
      <w:pPr>
        <w:pStyle w:val="ListBullet"/>
      </w:pPr>
      <w:r>
        <w:rPr>
          <w:b w:val="0"/>
        </w:rPr>
        <w:t>RFP 16 seeks everything "relating to ... membrane filtration technology ... from any source," including published literature — much of it public and equally available to Caspian.</w:t>
      </w:r>
    </w:p>
    <w:p>
      <w:pPr>
        <w:pStyle w:val="ListBullet"/>
      </w:pPr>
      <w:r>
        <w:rPr>
          <w:b w:val="0"/>
        </w:rPr>
        <w:t>RFP 38 (board/senior management materials on competitive position, R&amp;D roadmap and IP acquisition, 2017–present) is highly sensitive strategic material with only partial relevance.</w:t>
      </w:r>
    </w:p>
    <w:p>
      <w:pPr>
        <w:pStyle w:val="ListBullet"/>
      </w:pPr>
      <w:r>
        <w:rPr>
          <w:b w:val="0"/>
        </w:rPr>
        <w:t>Product-line count discrepancy: JV Agr. Ex. C lists eleven lines (AquaCore through SteamClean) excluding PureLine 400; hold memo says PureLine 400 is one of eleven. Confirm current line count before describing it in responses.</w:t>
      </w:r>
    </w:p>
    <w:p>
      <w:pPr>
        <w:spacing w:after="120"/>
      </w:pPr>
      <w:r>
        <w:rPr>
          <w:b w:val="0"/>
          <w:i w:val="0"/>
        </w:rPr>
      </w:r>
      <w:r>
        <w:rPr>
          <w:b/>
          <w:i w:val="0"/>
        </w:rPr>
        <w:t>Recommended objection / response and meet-and-confer position.</w:t>
      </w:r>
      <w:r>
        <w:rPr>
          <w:b w:val="0"/>
          <w:i w:val="0"/>
        </w:rPr>
      </w:r>
    </w:p>
    <w:p>
      <w:pPr>
        <w:pStyle w:val="ListBullet"/>
      </w:pPr>
      <w:r>
        <w:rPr>
          <w:b w:val="0"/>
        </w:rPr>
        <w:t>Rule 26(b)(1); Rule 26(c)(1)(G) (confidential commercial information of non-accused products).</w:t>
      </w:r>
    </w:p>
    <w:p>
      <w:pPr>
        <w:pStyle w:val="ListBullet"/>
      </w:pPr>
      <w:r>
        <w:rPr>
          <w:b w:val="0"/>
        </w:rPr>
        <w:t>Caspian's unjust enrichment and DTSA damages theories (18 U.S.C. § 1836(b)(3)(B)) reach Greenleaf's gains from the misappropriation — i.e., PureLine 400 — not the profitability of unrelated product lines.</w:t>
      </w:r>
    </w:p>
    <w:p>
      <w:pPr>
        <w:spacing w:after="120"/>
      </w:pPr>
      <w:r>
        <w:rPr>
          <w:b w:val="0"/>
          <w:i w:val="0"/>
        </w:rPr>
      </w:r>
      <w:r>
        <w:rPr>
          <w:b/>
          <w:i w:val="0"/>
        </w:rPr>
        <w:t>Watch-outs.</w:t>
      </w:r>
      <w:r>
        <w:rPr>
          <w:b w:val="0"/>
          <w:i w:val="0"/>
        </w:rPr>
      </w:r>
    </w:p>
    <w:p>
      <w:pPr>
        <w:pStyle w:val="ListBullet"/>
      </w:pPr>
      <w:r>
        <w:rPr>
          <w:b w:val="0"/>
        </w:rPr>
        <w:t>Do not over-narrow to PureLine 400 alone if the client confirms other membrane products were launched or modified post-2019; that would invite a motion to compel on the § 3.3 exclusivity theory.</w:t>
      </w:r>
    </w:p>
    <w:p>
      <w:pPr>
        <w:pStyle w:val="Heading2"/>
      </w:pPr>
      <w:r>
        <w:t>D. Third-Party Confidentiality — Lender Documents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19</w:t>
            </w:r>
          </w:p>
        </w:tc>
        <w:tc>
          <w:tcPr>
            <w:tcW w:type="dxa" w:w="2304"/>
          </w:tcPr>
          <w:p>
            <w:r/>
            <w:r>
              <w:rPr>
                <w:sz w:val="19"/>
              </w:rPr>
              <w:t>['**Response:** Object on relevance and proportionality; state that Greenleaf is withholding documents on that basis. Also note third-party contractual confidentiality obligations requiring notice to the lender.', '**Fallback at meet-and-confer:** Offer (only if pressed) any lender communications or presentations that specifically discuss PureLine 400, the JV, NanoSieve, or this litigation, designated AEO, after notice to Sterling Ark. Ask Caspian to articulate the claim or defense to which the broader request relates.', "**Client steps now:** Pull the executed credit agreement; confirm the confidentiality provision and notice requirements; prepare a short notice letter to Sterling Ark so we can move quickly if ordered. Consider whether the Protective Order's non-party provisions (PO § 11) adequately protect lender material or whether a supplemental order is needed."]</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19 seeks all financing arrangements, credit agreements, covenant calculations, borrowing base certificates, and all communications with lenders (specifically Sterling Ark Capital, LLC) from 2020 to present.</w:t>
      </w:r>
    </w:p>
    <w:p>
      <w:pPr>
        <w:pStyle w:val="ListBullet"/>
      </w:pPr>
      <w:r>
        <w:rPr>
          <w:b w:val="0"/>
        </w:rPr>
        <w:t>Relevance is attenuated: none of Caspian's claims turns on Greenleaf's creditworthiness. The only colorable theories are (i) motive (financial pressure to launch PureLine 400) and (ii) damages/ability to pay — the latter is generally not discoverable absent a punitive/exemplary damages showing.</w:t>
      </w:r>
    </w:p>
    <w:p>
      <w:pPr>
        <w:pStyle w:val="ListBullet"/>
      </w:pPr>
      <w:r>
        <w:rPr>
          <w:b w:val="0"/>
        </w:rPr>
        <w:t xml:space="preserve">Per Dan's recollection, the $40M March 2022 Sterling Ark revolving facility contains a confidentiality clause (possibly § 10.08) restricting disclosure of loan documents, covenants, borrowing base calculations and projections without lender consent. </w:t>
      </w:r>
      <w:r>
        <w:rPr>
          <w:b/>
        </w:rPr>
        <w:t>The credit agreement is not in the materials provided; the section number and any "required by law / legal process" carve-out must be verified before we cite it.</w:t>
      </w:r>
      <w:r>
        <w:rPr>
          <w:b w:val="0"/>
        </w:rPr>
      </w:r>
    </w:p>
    <w:p>
      <w:pPr>
        <w:spacing w:after="120"/>
      </w:pPr>
      <w:r>
        <w:rPr>
          <w:b w:val="0"/>
          <w:i w:val="0"/>
        </w:rPr>
      </w:r>
      <w:r>
        <w:rPr>
          <w:b/>
          <w:i w:val="0"/>
        </w:rPr>
        <w:t>Recommended objection / response and meet-and-confer position.</w:t>
      </w:r>
      <w:r>
        <w:rPr>
          <w:b w:val="0"/>
          <w:i w:val="0"/>
        </w:rPr>
      </w:r>
    </w:p>
    <w:p>
      <w:pPr>
        <w:pStyle w:val="ListBullet"/>
      </w:pPr>
      <w:r>
        <w:rPr>
          <w:b w:val="0"/>
        </w:rPr>
        <w:t>Rule 26(b)(1) relevance/proportionality; Rule 26(c)(1)(G).</w:t>
      </w:r>
    </w:p>
    <w:p>
      <w:pPr>
        <w:pStyle w:val="ListBullet"/>
      </w:pPr>
      <w:r>
        <w:rPr>
          <w:b w:val="0"/>
        </w:rPr>
        <w:t>A private confidentiality agreement is not itself a privilege and does not bar discovery; courts typically address it through a protective order. The stronger objection is relevance/proportionality; the confidentiality clause supports AEO treatment and a notice period rather than outright refusal.</w:t>
      </w:r>
    </w:p>
    <w:p>
      <w:pPr>
        <w:pStyle w:val="ListBullet"/>
      </w:pPr>
      <w:r>
        <w:rPr>
          <w:b w:val="0"/>
        </w:rPr>
        <w:t>Most commercial credit agreements permit disclosure required by subpoena or court order, often with notice to the lender — confirm.</w:t>
      </w:r>
    </w:p>
    <w:p>
      <w:pPr>
        <w:spacing w:after="120"/>
      </w:pPr>
      <w:r>
        <w:rPr>
          <w:b w:val="0"/>
          <w:i w:val="0"/>
        </w:rPr>
      </w:r>
      <w:r>
        <w:rPr>
          <w:b/>
          <w:i w:val="0"/>
        </w:rPr>
        <w:t>Watch-outs.</w:t>
      </w:r>
      <w:r>
        <w:rPr>
          <w:b w:val="0"/>
          <w:i w:val="0"/>
        </w:rPr>
      </w:r>
    </w:p>
    <w:p>
      <w:pPr>
        <w:pStyle w:val="ListBullet"/>
      </w:pPr>
      <w:r>
        <w:rPr>
          <w:b w:val="0"/>
        </w:rPr>
        <w:t>If Greenleaf made statements to Sterling Ark about PureLine 400's technology origin or litigation risk, those may be targeted later via Rule 45; our "specific subject" fallback limits the risk of appearing to hide them.</w:t>
      </w:r>
    </w:p>
    <w:p>
      <w:pPr>
        <w:pStyle w:val="Heading2"/>
      </w:pPr>
      <w:r>
        <w:t>E. Employee Privacy — Personnel Files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33 (primary); RFP 17, RFP 26 (in part)</w:t>
            </w:r>
          </w:p>
        </w:tc>
        <w:tc>
          <w:tcPr>
            <w:tcW w:type="dxa" w:w="2304"/>
          </w:tcPr>
          <w:p>
            <w:r/>
            <w:r>
              <w:rPr>
                <w:sz w:val="19"/>
              </w:rPr>
              <w:t>["**Narrowing framework** (consistent with Dan's proposal): for each of the 14 Greenleaf JV engineers and the PureLine 400 team members, produce (1) name, title, and employment dates; (2) JV role and assignment history (overlaps RFP 17 staffing plans); (3) documents sufficient to show access to NanoSieve / JV technical data (overlaps RFP 37); (4) NDAs, invention assignment, non-compete/non-solicit agreements (RFP 34); and (5) Dissolution Agr. § 5.6 exit interview/device-audit records for JV personnel. Designate CONFIDENTIAL (PO § 2.2 expressly covers personnel information).", 'Object to and withhold compensation, benefits, medical, performance and disciplinary records, stating so expressly. Offer to revisit for a specific individual if Caspian makes a particularized showing (e.g., discipline related to handling of Caspian information).', "For Caspian's 9 engineers: respond that Greenleaf will produce JV-related records it holds (staffing, time allocation, secondment records), but not personnel files it does not maintain.", 'Ostrowski (RFP 26): his file is more relevant — he worked on JV and PureLine 400 and joined Caspian December 1, 2023 — and the request is helpful to Greenleaf. Produce offer letter, confidentiality/invention/restrictive covenant agreements, separation materials and exit interview/device audit records; withhold compensation/benefits detail unless tied to a claim.']</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33 demands complete personnel files — performance reviews, PIPs, discipline, compensation, bonus, equity, benefits and enrollment forms — for all 23 JV engineers and for every Greenleaf employee who worked on PureLine 400 "in any capacity," 2019–present.</w:t>
      </w:r>
    </w:p>
    <w:p>
      <w:pPr>
        <w:pStyle w:val="ListBullet"/>
      </w:pPr>
      <w:r>
        <w:rPr>
          <w:b w:val="0"/>
        </w:rPr>
        <w:t>The 9 Caspian engineers were Caspian employees throughout (JV Agr. §§ 6.1, 6.3); Greenleaf does not maintain their personnel files, and Caspian already has them.</w:t>
      </w:r>
    </w:p>
    <w:p>
      <w:pPr>
        <w:pStyle w:val="ListBullet"/>
      </w:pPr>
      <w:r>
        <w:rPr>
          <w:b w:val="0"/>
        </w:rPr>
        <w:t>Compensation, benefits, medical and disciplinary information has no apparent bearing on misappropriation or contract claims; production would expose sensitive data of at least 14 Greenleaf JV engineers plus the PureLine 400 team. Greenleaf HR is resistant.</w:t>
      </w:r>
    </w:p>
    <w:p>
      <w:pPr>
        <w:pStyle w:val="ListBullet"/>
      </w:pPr>
      <w:r>
        <w:rPr>
          <w:b w:val="0"/>
        </w:rPr>
        <w:t xml:space="preserve">Some personnel information </w:t>
      </w:r>
      <w:r>
        <w:rPr>
          <w:b/>
        </w:rPr>
        <w:t>is</w:t>
      </w:r>
      <w:r>
        <w:rPr>
          <w:b w:val="0"/>
        </w:rPr>
        <w:t xml:space="preserve"> relevant: identity and role on JV/PureLine 400, dates, access to NanoSieve material, and signed confidentiality/invention assignment agreements required by JV Agr. § 6.5 (also requested separately in RFP 34).</w:t>
      </w:r>
    </w:p>
    <w:p>
      <w:pPr>
        <w:spacing w:after="120"/>
      </w:pPr>
      <w:r>
        <w:rPr>
          <w:b w:val="0"/>
          <w:i w:val="0"/>
        </w:rPr>
      </w:r>
      <w:r>
        <w:rPr>
          <w:b/>
          <w:i w:val="0"/>
        </w:rPr>
        <w:t>Recommended objection / response and meet-and-confer position.</w:t>
      </w:r>
      <w:r>
        <w:rPr>
          <w:b w:val="0"/>
          <w:i w:val="0"/>
        </w:rPr>
      </w:r>
    </w:p>
    <w:p>
      <w:pPr>
        <w:pStyle w:val="ListBullet"/>
      </w:pPr>
      <w:r>
        <w:rPr>
          <w:b w:val="0"/>
        </w:rPr>
        <w:t>Rule 26(b)(1); Rule 26(c)(1) (protection from annoyance, embarrassment, oppression).</w:t>
      </w:r>
    </w:p>
    <w:p>
      <w:pPr>
        <w:pStyle w:val="ListBullet"/>
      </w:pPr>
      <w:r>
        <w:rPr>
          <w:b w:val="0"/>
        </w:rPr>
        <w:t>Courts recognize a heightened privacy interest in non-party employees' personnel files and generally require a particularized showing of relevance, often limiting production to specific categories.</w:t>
      </w:r>
    </w:p>
    <w:p>
      <w:pPr>
        <w:pStyle w:val="ListBullet"/>
      </w:pPr>
      <w:r>
        <w:rPr>
          <w:b w:val="0"/>
        </w:rPr>
        <w:t>N.C. Gen. Stat. § 126-22 et seq. governs public employees only, so the privacy argument here rests on federal case law and Rule 26(c) rather than a state statute; HIPAA-type protections may apply to any medical information in files.</w:t>
      </w:r>
    </w:p>
    <w:p>
      <w:pPr>
        <w:spacing w:after="120"/>
      </w:pPr>
      <w:r>
        <w:rPr>
          <w:b w:val="0"/>
          <w:i w:val="0"/>
        </w:rPr>
      </w:r>
      <w:r>
        <w:rPr>
          <w:b/>
          <w:i w:val="0"/>
        </w:rPr>
        <w:t>Watch-outs.</w:t>
      </w:r>
      <w:r>
        <w:rPr>
          <w:b w:val="0"/>
          <w:i w:val="0"/>
        </w:rPr>
      </w:r>
    </w:p>
    <w:p>
      <w:pPr>
        <w:pStyle w:val="ListBullet"/>
      </w:pPr>
      <w:r>
        <w:rPr>
          <w:b w:val="0"/>
        </w:rPr>
        <w:t>RFP 17 (identities, roles and time allocation of the 23 engineers, including allocation between the JV and Greenleaf's independent operations) is core relevant and should be answered substantively; the reimbursement records under JV Agr. § 6.3 will show time allocation.</w:t>
      </w:r>
    </w:p>
    <w:p>
      <w:pPr>
        <w:pStyle w:val="Heading2"/>
      </w:pPr>
      <w:r>
        <w:t>F. Documents Held by Third Parties — "Agents, Representatives, Consultants"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15 and 40 (express language); Definition 3 (all requests)</w:t>
            </w:r>
          </w:p>
        </w:tc>
        <w:tc>
          <w:tcPr>
            <w:tcW w:type="dxa" w:w="2304"/>
          </w:tcPr>
          <w:p>
            <w:r/>
            <w:r>
              <w:rPr>
                <w:sz w:val="19"/>
              </w:rPr>
              <w:t>["**RFP 15:** Agree to produce documents in Greenleaf's possession, custody, or control regarding membrane filtration product development from January 15, 2019 forward — including reports that consultants or contractors engaged on PureLine 400 delivered to Greenleaf. Object to any obligation to search the files of independent third parties. Identify (internally) every PureLine 400 contractor now; where Greenleaf has a contractual right to deliverables or work files, expect to have to collect them.", "**RFP 40:** Object to auditor workpapers and to documents held by Ridgepoint as outside Greenleaf's control (subject to verification of the engagement letter); refer Caspian to Rule 45. Offer Greenleaf's own annual financial statements FY2019–2023 (AEO), and any management letters or audit communications in Greenleaf's files that address the JV, the dissolution accounting, or PureLine 400. Object to the rest as disproportionate.", 'If Caspian subpoenas Ridgepoint or Sterling Ark, consider moving to quash/modify or require the non-party to designate under PO § 11.2.']</w:t>
            </w:r>
          </w:p>
        </w:tc>
      </w:tr>
    </w:tbl>
    <w:p/>
    <w:p>
      <w:pPr>
        <w:spacing w:after="120"/>
      </w:pPr>
      <w:r>
        <w:rPr>
          <w:b w:val="0"/>
          <w:i w:val="0"/>
        </w:rPr>
      </w:r>
      <w:r>
        <w:rPr>
          <w:b/>
          <w:i w:val="0"/>
        </w:rPr>
        <w:t>Nature of the problem.</w:t>
      </w:r>
      <w:r>
        <w:rPr>
          <w:b w:val="0"/>
          <w:i w:val="0"/>
        </w:rPr>
      </w:r>
    </w:p>
    <w:p>
      <w:pPr>
        <w:pStyle w:val="ListBullet"/>
      </w:pPr>
      <w:r>
        <w:rPr>
          <w:b w:val="0"/>
        </w:rPr>
        <w:t>M</w:t>
      </w:r>
    </w:p>
    <w:p>
      <w:pPr>
        <w:pStyle w:val="ListBullet"/>
      </w:pPr>
      <w:r>
        <w:rPr>
          <w:b w:val="0"/>
        </w:rPr>
        <w:t>E</w:t>
      </w:r>
    </w:p>
    <w:p>
      <w:pPr>
        <w:pStyle w:val="ListBullet"/>
      </w:pPr>
      <w:r>
        <w:rPr>
          <w:b w:val="0"/>
        </w:rPr>
        <w:t>D</w:t>
      </w:r>
    </w:p>
    <w:p>
      <w:pPr>
        <w:pStyle w:val="ListBullet"/>
      </w:pPr>
      <w:r>
        <w:rPr>
          <w:b w:val="0"/>
        </w:rPr>
        <w:t>I</w:t>
      </w:r>
    </w:p>
    <w:p>
      <w:pPr>
        <w:pStyle w:val="ListBullet"/>
      </w:pPr>
      <w:r>
        <w:rPr>
          <w:b w:val="0"/>
        </w:rPr>
        <w:t>U</w:t>
      </w:r>
    </w:p>
    <w:p>
      <w:pPr>
        <w:pStyle w:val="ListBullet"/>
      </w:pPr>
      <w:r>
        <w:rPr>
          <w:b w:val="0"/>
        </w:rPr>
        <w:t>M</w:t>
      </w:r>
    </w:p>
    <w:p>
      <w:pPr>
        <w:spacing w:after="120"/>
      </w:pPr>
      <w:r>
        <w:rPr>
          <w:b w:val="0"/>
          <w:i w:val="0"/>
        </w:rPr>
      </w:r>
      <w:r>
        <w:rPr>
          <w:b/>
          <w:i w:val="0"/>
        </w:rPr>
        <w:t>Legal basis for objection.</w:t>
      </w:r>
      <w:r>
        <w:rPr>
          <w:b w:val="0"/>
          <w:i w:val="0"/>
        </w:rPr>
      </w:r>
    </w:p>
    <w:p>
      <w:pPr>
        <w:pStyle w:val="ListBullet"/>
      </w:pPr>
      <w:r>
        <w:rPr>
          <w:b w:val="0"/>
        </w:rPr>
        <w:t>RFPs 15 and 40 seek documents in the possession, custody, or control of Greenleaf "its agents, representatives, consultants, or any entity acting on its behalf." Read literally, this reaches Ridgepoint Accounting Group, LLP (auditor since 2017), Sterling Ark (lender), and outside engineering consultants/contractors on PureLine 400.</w:t>
      </w:r>
    </w:p>
    <w:p>
      <w:pPr>
        <w:pStyle w:val="ListBullet"/>
      </w:pPr>
      <w:r>
        <w:rPr>
          <w:b w:val="0"/>
        </w:rPr>
        <w:t>RFP 40 specifically requests "auditor workpapers" and management letters from Ridgepoint for FY2019–2023. Auditor workpapers are generally the auditor's property, not the client's.</w:t>
      </w:r>
    </w:p>
    <w:p>
      <w:pPr>
        <w:pStyle w:val="ListBullet"/>
      </w:pPr>
      <w:r>
        <w:rPr>
          <w:b w:val="0"/>
        </w:rPr>
      </w:r>
      <w:r>
        <w:rPr>
          <w:b/>
        </w:rPr>
        <w:t>The Ridgepoint engagement letter is not in the materials provided.</w:t>
      </w:r>
      <w:r>
        <w:rPr>
          <w:b w:val="0"/>
        </w:rPr>
        <w:t xml:space="preserve"> Whether Greenleaf has a contractual right to obtain workpapers must be confirmed before we represent a lack of control.</w:t>
      </w:r>
    </w:p>
    <w:p>
      <w:pPr>
        <w:spacing w:after="120"/>
      </w:pPr>
      <w:r>
        <w:rPr>
          <w:b w:val="0"/>
          <w:i w:val="0"/>
        </w:rPr>
      </w:r>
      <w:r>
        <w:rPr>
          <w:b/>
          <w:i w:val="0"/>
        </w:rPr>
        <w:t>Recommended objection / response and meet-and-confer position.</w:t>
      </w:r>
      <w:r>
        <w:rPr>
          <w:b w:val="0"/>
          <w:i w:val="0"/>
        </w:rPr>
      </w:r>
    </w:p>
    <w:p>
      <w:pPr>
        <w:pStyle w:val="ListBullet"/>
      </w:pPr>
      <w:r>
        <w:rPr>
          <w:b w:val="0"/>
        </w:rPr>
        <w:t>Rule 34(a)(1) ("possession, custody, or control"). Courts in the Fourth Circuit generally find "control" where a party has the legal right, or in some decisions the practical ability, to obtain documents on demand; see, e.g., Steele Software Sys. Corp. v. DataQuick Info. Sys., Inc., 237 F.R.D. 561, 564 (D. Md. 2006). Because the "practical ability" test is broader, we should be careful about consultants who would readily hand over files on request.</w:t>
      </w:r>
    </w:p>
    <w:p>
      <w:pPr>
        <w:pStyle w:val="ListBullet"/>
      </w:pPr>
      <w:r>
        <w:rPr>
          <w:b w:val="0"/>
        </w:rPr>
        <w:t>Rule 45 is the proper vehicle for non-party documents; PO § 11.3 already contemplates subpoenas to non-parties.</w:t>
      </w:r>
    </w:p>
    <w:p>
      <w:pPr>
        <w:pStyle w:val="ListBullet"/>
      </w:pPr>
      <w:r>
        <w:rPr>
          <w:b w:val="0"/>
        </w:rPr>
        <w:t>Rule 26(b)(1) proportionality — company-wide audited financials for five years are only marginally relevant.</w:t>
      </w:r>
    </w:p>
    <w:p>
      <w:pPr>
        <w:pStyle w:val="Heading2"/>
      </w:pPr>
      <w:r>
        <w:t>G. Enterprise Databases — SAP, Windchill, PLM</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36; related: RFP 37 (access logs), Instr. 5</w:t>
            </w:r>
          </w:p>
        </w:tc>
        <w:tc>
          <w:tcPr>
            <w:tcW w:type="dxa" w:w="2304"/>
          </w:tcPr>
          <w:p>
            <w:r/>
            <w:r>
              <w:rPr>
                <w:sz w:val="19"/>
              </w:rPr>
              <w:t>['**Response:** Object to wholesale database production; agree to produce reasonably usable exports/reports from SAP and Windchill for PureLine 400 (and JV products), e.g., Windchill part/document records, ECO histories, BOM revisions with timestamps and authors, and SAP procurement, production and cost records tied to PureLine 400 material numbers, April 3, 2023 (project initiation) forward, with JV-era records where the PureLine 400 records reference them.', "Propose an ESI protocol (none is in the CMO) covering database exports, field lists, metadata fields, and a sample-then-expand approach. Offer a technical conference between IT (Raymond Cho) and Caspian's vendor.", 'Audit trail data for PureLine 400 CAD/Windchill objects should be preserved immediately in its native form (verify the hold captures audit logs, not just objects).']</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36 seeks "all data, databases, and database records" from SAP, Windchill and any other enterprise system "relating in any way" to PureLine 400, in native format with all metadata, version history and audit trails.</w:t>
      </w:r>
    </w:p>
    <w:p>
      <w:pPr>
        <w:pStyle w:val="ListBullet"/>
      </w:pPr>
      <w:r>
        <w:rPr>
          <w:b w:val="0"/>
        </w:rPr>
        <w:t>Per the hold memo, SAP spans all eleven product lines, HR and company-wide financials; SAP and Windchill are the main drivers of the 2.3 TB volume. Databases are not "documents" that can be produced wholesale in usable form; native production of a live ERP is infeasible and would expose unrelated data.</w:t>
      </w:r>
    </w:p>
    <w:p>
      <w:pPr>
        <w:pStyle w:val="ListBullet"/>
      </w:pPr>
      <w:r>
        <w:rPr>
          <w:b w:val="0"/>
        </w:rPr>
        <w:t xml:space="preserve">Windchill data for PureLine 400 (ECOs, BOMs, version histories, audit trails) is, however, central to the origin/independent-development question — and may be </w:t>
      </w:r>
      <w:r>
        <w:rPr>
          <w:b/>
        </w:rPr>
        <w:t>helpful</w:t>
      </w:r>
      <w:r>
        <w:rPr>
          <w:b w:val="0"/>
        </w:rPr>
        <w:t xml:space="preserve"> evidence of independent design history.</w:t>
      </w:r>
    </w:p>
    <w:p>
      <w:pPr>
        <w:spacing w:after="120"/>
      </w:pPr>
      <w:r>
        <w:rPr>
          <w:b w:val="0"/>
          <w:i w:val="0"/>
        </w:rPr>
      </w:r>
      <w:r>
        <w:rPr>
          <w:b/>
          <w:i w:val="0"/>
        </w:rPr>
        <w:t>Recommended objection / response and meet-and-confer position.</w:t>
      </w:r>
      <w:r>
        <w:rPr>
          <w:b w:val="0"/>
          <w:i w:val="0"/>
        </w:rPr>
      </w:r>
    </w:p>
    <w:p>
      <w:pPr>
        <w:pStyle w:val="ListBullet"/>
      </w:pPr>
      <w:r>
        <w:rPr>
          <w:b w:val="0"/>
        </w:rPr>
        <w:t>Rule 26(b)(1) and (b)(2)(C); Rule 34(b)(1)(C), (b)(2)(E) (form of production; reasonably usable form).</w:t>
      </w:r>
    </w:p>
    <w:p>
      <w:pPr>
        <w:pStyle w:val="ListBullet"/>
      </w:pPr>
      <w:r>
        <w:rPr>
          <w:b w:val="0"/>
        </w:rPr>
        <w:t>The Sedona Principles (3d ed. 2018), Principle 6 and commentary on database discovery (producing party best situated to determine appropriate procedures; reports/exports rather than database access).</w:t>
      </w:r>
    </w:p>
    <w:p>
      <w:pPr>
        <w:spacing w:after="120"/>
      </w:pPr>
      <w:r>
        <w:rPr>
          <w:b w:val="0"/>
          <w:i w:val="0"/>
        </w:rPr>
      </w:r>
      <w:r>
        <w:rPr>
          <w:b/>
          <w:i w:val="0"/>
        </w:rPr>
        <w:t>Watch-outs.</w:t>
      </w:r>
      <w:r>
        <w:rPr>
          <w:b w:val="0"/>
          <w:i w:val="0"/>
        </w:rPr>
      </w:r>
    </w:p>
    <w:p>
      <w:pPr>
        <w:pStyle w:val="ListBullet"/>
      </w:pPr>
      <w:r>
        <w:rPr>
          <w:b w:val="0"/>
        </w:rPr>
        <w:t>Resisting too hard here risks the appearance that Greenleaf is hiding the design history. The recommended posture is "targeted but generous" production.</w:t>
      </w:r>
    </w:p>
    <w:p>
      <w:pPr>
        <w:pStyle w:val="Heading2"/>
      </w:pPr>
      <w:r>
        <w:t>H. Greenleaf's Own Trade Secrets — Full PureLine 400 Technical Package</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9; also RFPs 36, 39, 44</w:t>
            </w:r>
          </w:p>
        </w:tc>
        <w:tc>
          <w:tcPr>
            <w:tcW w:type="dxa" w:w="2304"/>
          </w:tcPr>
          <w:p>
            <w:r/>
            <w:r>
              <w:rPr>
                <w:sz w:val="19"/>
              </w:rPr>
              <w:t>["**Response:** Agree to produce, as AEO, technical documents sufficient to show the structure, composition, fabrication and operation of PureLine 400's **membrane and membrane-module components** and any component Caspian identifies as embodying its asserted trade secrets or Joint IP; object to the balance (non-membrane housings, controls software, generic manufacturing SOPs) as irrelevant and as Greenleaf trade secrets.", 'Object to Instruction 8 as applied; reserve the right to produce non-membrane portions in redacted form with a redaction log.', '**Propose a PO amendment under PO § 12** for native CAD files and formulations: inspection in a secure review environment (standalone computer or secure virtual room), no copying except limited printouts, logged access, and a prosecution/development bar for anyone reviewing them.', 'Staged approach: produce membrane-related technical documents first, and expand once Caspian serves a trade secret identification.']</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9 seeks all specifications, drawings, CAD files, formulas, compositions, BOMs, manufacturing work instructions, SOPs, tooling designs and assembly instructions for PureLine 400 "in complete, unredacted form." Instruction 8 bars non-privilege redactions.</w:t>
      </w:r>
    </w:p>
    <w:p>
      <w:pPr>
        <w:pStyle w:val="ListBullet"/>
      </w:pPr>
      <w:r>
        <w:rPr>
          <w:b w:val="0"/>
        </w:rPr>
        <w:t>Much of PureLine 400 incorporates Greenleaf's own Background IP (housings, flow control, FilterLogic software, SOPs, coating formulations developed by Nathan Cross) that is unrelated to membrane technology. Production to a direct competitor — which now employs a former Greenleaf senior engineer (Ostrowski) — creates real competitive risk.</w:t>
      </w:r>
    </w:p>
    <w:p>
      <w:pPr>
        <w:pStyle w:val="ListBullet"/>
      </w:pPr>
      <w:r>
        <w:rPr>
          <w:b w:val="0"/>
        </w:rPr>
        <w:t>The PO's AEO tier (PO § 5) bars in-house access and requires 7-day notice before disclosure to experts, but lacks secure-room / no-copy / source-code-style protections for the most sensitive files.</w:t>
      </w:r>
    </w:p>
    <w:p>
      <w:pPr>
        <w:spacing w:after="120"/>
      </w:pPr>
      <w:r>
        <w:rPr>
          <w:b w:val="0"/>
          <w:i w:val="0"/>
        </w:rPr>
      </w:r>
      <w:r>
        <w:rPr>
          <w:b/>
          <w:i w:val="0"/>
        </w:rPr>
        <w:t>Recommended objection / response and meet-and-confer position.</w:t>
      </w:r>
      <w:r>
        <w:rPr>
          <w:b w:val="0"/>
          <w:i w:val="0"/>
        </w:rPr>
      </w:r>
    </w:p>
    <w:p>
      <w:pPr>
        <w:pStyle w:val="ListBullet"/>
      </w:pPr>
      <w:r>
        <w:rPr>
          <w:b w:val="0"/>
        </w:rPr>
        <w:t>Rule 26(c)(1)(G) (trade secret "not be revealed or be revealed only in a specified way").</w:t>
      </w:r>
    </w:p>
    <w:p>
      <w:pPr>
        <w:pStyle w:val="ListBullet"/>
      </w:pPr>
      <w:r>
        <w:rPr>
          <w:b w:val="0"/>
        </w:rPr>
        <w:t>Rule 26(b)(1) — relevance limited to the aspects of PureLine 400 that allegedly embody NanoSieve or Joint IP.</w:t>
      </w:r>
    </w:p>
    <w:p>
      <w:pPr>
        <w:pStyle w:val="ListBullet"/>
      </w:pPr>
      <w:r>
        <w:rPr>
          <w:b w:val="0"/>
        </w:rPr>
        <w:t>Caspian must identify its asserted trade secrets before it can justify full access to Greenleaf's technical files (see Part IV.I).</w:t>
      </w:r>
    </w:p>
    <w:p>
      <w:pPr>
        <w:spacing w:after="120"/>
      </w:pPr>
      <w:r>
        <w:rPr>
          <w:b w:val="0"/>
          <w:i w:val="0"/>
        </w:rPr>
      </w:r>
      <w:r>
        <w:rPr>
          <w:b/>
          <w:i w:val="0"/>
        </w:rPr>
        <w:t>Watch-outs.</w:t>
      </w:r>
      <w:r>
        <w:rPr>
          <w:b w:val="0"/>
          <w:i w:val="0"/>
        </w:rPr>
      </w:r>
    </w:p>
    <w:p>
      <w:pPr>
        <w:pStyle w:val="ListBullet"/>
      </w:pPr>
      <w:r>
        <w:rPr>
          <w:b w:val="0"/>
        </w:rPr>
        <w:t>Because the non-infringement declaratory counterclaim puts PureLine 400's design at issue, Greenleaf will ultimately need to show the design history. Frame the narrowing around NanoSieve/Joint IP relevance, not a refusal to show the product.</w:t>
      </w:r>
    </w:p>
    <w:p>
      <w:pPr>
        <w:pStyle w:val="Heading2"/>
      </w:pPr>
      <w:r>
        <w:t>I. Undefined Trade Secrets — Requests Keyed to "NanoSieve Technology"</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24, 35, 37, 16, 32 (and Def. 8)</w:t>
            </w:r>
          </w:p>
        </w:tc>
        <w:tc>
          <w:tcPr>
            <w:tcW w:type="dxa" w:w="2304"/>
          </w:tcPr>
          <w:p>
            <w:r/>
            <w:r>
              <w:rPr>
                <w:sz w:val="19"/>
              </w:rPr>
              <w:t>['Object to Definition 8 as vague and assuming the conclusion; state that Greenleaf will construe "NanoSieve Technology" as the patents/applications in JV Agr. Ex. A and the trade secrets on the confidential schedule referenced in Ex. A, Part 3, pending Caspian\'s identification.', 'At meet-and-confer, request a written trade secret identification (by interrogatory response or stipulation) as a precondition to expanding technical production under RFPs 9, 24, 36 and 39. If refused, consider a letter-brief (CMO § 9) seeking sequencing.', 'Ask Caspian to confirm which set of patent numbers is correct.', '**RFP 24:** Produce non-privileged engineering comparisons/benchmarks of NanoSieve vs. PureLine 400 membrane; log privileged claim mapping/FTO work (Part IV.A). **RFP 37:** Produce access controls and available access logs for NanoSieve-designated repositories and the archival copies retained by Legal under Diss. Agr. § 5.5 (core relevance); confirm with IT what log retention exists and whether any logs were overwritten before February 9, 2024.']</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Many requests turn on "NanoSieve Technology," defined to include all "know-how ... and any other proprietary or confidential information embodying, incorporating, or derived from such technology." Caspian has not (to our knowledge) identified the specific trade secrets it claims were misappropriated.</w:t>
      </w:r>
    </w:p>
    <w:p>
      <w:pPr>
        <w:pStyle w:val="ListBullet"/>
      </w:pPr>
      <w:r>
        <w:rPr>
          <w:b w:val="0"/>
        </w:rPr>
        <w:t>The patent numbers for the four issued NanoSieve patents differ between JV Agr. Ex. A and the Dissolution Agreement. Patents are public; trade secrets must be something else. JV Agr. Ex. A, Part 3 refers to a "separate confidential schedule" of NanoSieve trade secrets made available under an October 22, 2018 NDA — that schedule may be the natural starting point for a trade secret identification.</w:t>
      </w:r>
    </w:p>
    <w:p>
      <w:pPr>
        <w:pStyle w:val="ListBullet"/>
      </w:pPr>
      <w:r>
        <w:rPr>
          <w:b w:val="0"/>
        </w:rPr>
        <w:t>RFP 24 (all comparisons of NanoSieve against "any other membrane filtration technology," including reverse-engineering and claim-mapping) will sweep in privileged IP analyses by patent counsel (overlap with Part IV.A) and non-privileged engineering work.</w:t>
      </w:r>
    </w:p>
    <w:p>
      <w:pPr>
        <w:spacing w:after="120"/>
      </w:pPr>
      <w:r>
        <w:rPr>
          <w:b w:val="0"/>
          <w:i w:val="0"/>
        </w:rPr>
      </w:r>
      <w:r>
        <w:rPr>
          <w:b/>
          <w:i w:val="0"/>
        </w:rPr>
        <w:t>Recommended objection / response and meet-and-confer position.</w:t>
      </w:r>
      <w:r>
        <w:rPr>
          <w:b w:val="0"/>
          <w:i w:val="0"/>
        </w:rPr>
      </w:r>
    </w:p>
    <w:p>
      <w:pPr>
        <w:pStyle w:val="ListBullet"/>
      </w:pPr>
      <w:r>
        <w:rPr>
          <w:b w:val="0"/>
        </w:rPr>
        <w:t>Courts commonly require a trade secret plaintiff to identify its trade secrets with reasonable particularity before obtaining broad discovery of the defendant's technical information; see, e.g., DeRubeis v. Witten Techs., Inc., 244 F.R.D. 676, 680–81 (N.D. Ga. 2007). North Carolina requires particularity in identifying trade secrets, see Analog Devices, Inc. v. Michalski, 157 N.C. App. 462, 468–70 (2003) (pleading context).</w:t>
      </w:r>
    </w:p>
    <w:p>
      <w:pPr>
        <w:pStyle w:val="ListBullet"/>
      </w:pPr>
      <w:r>
        <w:rPr>
          <w:b w:val="0"/>
        </w:rPr>
        <w:t>Rule 26(b)(1) proportionality; Rule 26(c) sequencing.</w:t>
      </w:r>
    </w:p>
    <w:p>
      <w:pPr>
        <w:spacing w:after="120"/>
      </w:pPr>
      <w:r>
        <w:rPr>
          <w:b w:val="0"/>
          <w:i w:val="0"/>
        </w:rPr>
      </w:r>
      <w:r>
        <w:rPr>
          <w:b/>
          <w:i w:val="0"/>
        </w:rPr>
        <w:t>Watch-outs.</w:t>
      </w:r>
      <w:r>
        <w:rPr>
          <w:b w:val="0"/>
          <w:i w:val="0"/>
        </w:rPr>
      </w:r>
    </w:p>
    <w:p>
      <w:pPr>
        <w:pStyle w:val="ListBullet"/>
      </w:pPr>
      <w:r>
        <w:rPr>
          <w:b w:val="0"/>
        </w:rPr>
        <w:t>RFP 24 and RFP 35 go to the heart of Caspian's case; a reverse-engineering study would implicate JV Agr. § 7.3(d) and Diss. Agr. § 4.1 directly. We need to learn now what exists.</w:t>
      </w:r>
    </w:p>
    <w:p>
      <w:pPr>
        <w:pStyle w:val="Heading2"/>
      </w:pPr>
      <w:r>
        <w:t>J. Internal Investigations and Litigation Hold Materials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35 (internal investigations re PureLine 400 use of NanoSieve/Joint IP); RFP 46 (litigation hold)</w:t>
            </w:r>
          </w:p>
        </w:tc>
        <w:tc>
          <w:tcPr>
            <w:tcW w:type="dxa" w:w="2304"/>
          </w:tcPr>
          <w:p>
            <w:r/>
            <w:r>
              <w:rPr>
                <w:sz w:val="19"/>
              </w:rPr>
              <w:t>["**RFP 46:** Object and withhold the hold notices and Legal–custodian communications as privileged/work product. Offer — in correspondence or via an agreed ESI protocol — the non-privileged facts: date(s) the hold issued, custodian names/titles, categories of systems preserved, and the date backup rotation was suspended. Reciprocity: request the same from Caspian (relevant to Ostrowski's arrival at Caspian on Dec. 1, 2023 and to our Helix counterclaim).", '**RFP 35:** First, determine what exists. If any review was counsel-directed, withhold and log categorically; produce underlying facts/business records (e.g., engineering records) through other requests. If Greenleaf conducted a business-led technical review (e.g., by Engineering) and plans to rely on its conclusions, recognize that privilege likely will not attach and that selective reliance would waive protection over the subject.']</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RFP 35 seeks all internal investigations, reviews, compliance reviews or audits of PureLine 400's use of NanoSieve, Joint IP or Caspian Background IP from April 3, 2023, including findings and remedial actions. Any review directed by Patricia Yuen or our firm is likely privileged/work product; purely business-led engineering reviews may not be.</w:t>
      </w:r>
    </w:p>
    <w:p>
      <w:pPr>
        <w:pStyle w:val="ListBullet"/>
      </w:pPr>
      <w:r>
        <w:rPr>
          <w:b w:val="0"/>
        </w:rPr>
        <w:t>RFP 46 seeks the hold notices, custodian lists, scope, implementation date and communications between Legal and custodians/IT. The Feb. 12, 2024 hold memo is marked privileged and is an attorney communication giving legal instructions.</w:t>
      </w:r>
    </w:p>
    <w:p>
      <w:pPr>
        <w:pStyle w:val="ListBullet"/>
      </w:pPr>
      <w:r>
        <w:rPr>
          <w:b w:val="0"/>
        </w:rPr>
        <w:t>Exposure: the hold was issued after the complaint (filed Feb. 8, 2024) despite earlier anticipation of litigation; backup rotation halted Feb. 9, 2024; only 14 custodians (several Greenleaf JV engineers are not listed); Ostrowski departed Oct. 15, 2023 — before the hold — so the status of his mailbox, laptop and phone must be confirmed.</w:t>
      </w:r>
    </w:p>
    <w:p>
      <w:pPr>
        <w:spacing w:after="120"/>
      </w:pPr>
      <w:r>
        <w:rPr>
          <w:b w:val="0"/>
          <w:i w:val="0"/>
        </w:rPr>
      </w:r>
      <w:r>
        <w:rPr>
          <w:b/>
          <w:i w:val="0"/>
        </w:rPr>
        <w:t>Recommended objection / response and meet-and-confer position.</w:t>
      </w:r>
      <w:r>
        <w:rPr>
          <w:b w:val="0"/>
          <w:i w:val="0"/>
        </w:rPr>
      </w:r>
    </w:p>
    <w:p>
      <w:pPr>
        <w:pStyle w:val="ListBullet"/>
      </w:pPr>
      <w:r>
        <w:rPr>
          <w:b w:val="0"/>
        </w:rPr>
        <w:t>Upjohn, 449 U.S. 383 (investigations conducted by counsel); Rule 26(b)(3).</w:t>
      </w:r>
    </w:p>
    <w:p>
      <w:pPr>
        <w:pStyle w:val="ListBullet"/>
      </w:pPr>
      <w:r>
        <w:rPr>
          <w:b w:val="0"/>
        </w:rPr>
        <w:t>Litigation hold letters are generally treated as privileged/work product and not discoverable absent a preliminary showing of spoliation; see, e.g., Major Tours, Inc. v. Colorel, No. 05-3091, 2009 WL 2413631 (D.N.J. Aug. 4, 2009) (ordering production only after spoliation showing). The basic facts of preservation (dates, custodians, categories of data preserved) are generally discoverable even when the notice is not.</w:t>
      </w:r>
    </w:p>
    <w:p>
      <w:pPr>
        <w:spacing w:after="120"/>
      </w:pPr>
      <w:r>
        <w:rPr>
          <w:b w:val="0"/>
          <w:i w:val="0"/>
        </w:rPr>
      </w:r>
      <w:r>
        <w:rPr>
          <w:b/>
          <w:i w:val="0"/>
        </w:rPr>
        <w:t>Watch-outs.</w:t>
      </w:r>
      <w:r>
        <w:rPr>
          <w:b w:val="0"/>
          <w:i w:val="0"/>
        </w:rPr>
      </w:r>
    </w:p>
    <w:p>
      <w:pPr>
        <w:pStyle w:val="ListBullet"/>
      </w:pPr>
      <w:r>
        <w:rPr>
          <w:b w:val="0"/>
        </w:rPr>
        <w:t>Before we respond, confirm (1) whether any pre-suit hold (e.g., around the dissolution or pre-suit demands) was issued; (2) the preservation status of Ostrowski's devices and accounts; and (3) whether the remaining Greenleaf JV engineers (beyond Ostrowski, Reeves and Ketterer) should be added as custodians. Remedial steps now reduce Rule 37(e) risk if RFP 46 becomes a battleground.</w:t>
      </w:r>
    </w:p>
    <w:p>
      <w:pPr>
        <w:pStyle w:val="Heading2"/>
      </w:pPr>
      <w:r>
        <w:t>K. Preservation and Rule 26(g) Certification Risk (Cross-Cutting)</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3, 7, 14, 16, 17, 22, 33, 37, 38, 42, 46; Instr. 4 and 5</w:t>
            </w:r>
          </w:p>
        </w:tc>
        <w:tc>
          <w:tcPr>
            <w:tcW w:type="dxa" w:w="2304"/>
          </w:tcPr>
          <w:p>
            <w:r/>
            <w:r>
              <w:rPr>
                <w:sz w:val="19"/>
              </w:rPr>
              <w:t>['Recommend a supplemental hold to (i) the remaining Greenleaf JV engineers identified in the JV staffing plan (JV Agr. § 6.2), (ii) any PureLine 400 team members not already listed, and (iii) access-log and audit-trail sources in IT.', 'Where we object on temporal grounds, word the response as an objection and limitation, not as a factual representation about what exists.', 'Object to Instruction 4 as an improper interrogatory; do not provide a narrative about lost documents in the RFP responses.']</w:t>
            </w:r>
          </w:p>
        </w:tc>
      </w:tr>
    </w:tbl>
    <w:p/>
    <w:p>
      <w:pPr>
        <w:spacing w:after="120"/>
      </w:pPr>
      <w:r>
        <w:rPr>
          <w:b w:val="0"/>
          <w:i w:val="0"/>
        </w:rPr>
      </w:r>
      <w:r>
        <w:rPr>
          <w:b/>
          <w:i w:val="0"/>
        </w:rPr>
        <w:t>Nature of the problem.</w:t>
      </w:r>
      <w:r>
        <w:rPr>
          <w:b w:val="0"/>
          <w:i w:val="0"/>
        </w:rPr>
      </w:r>
    </w:p>
    <w:p>
      <w:pPr>
        <w:pStyle w:val="ListBullet"/>
      </w:pPr>
      <w:r>
        <w:rPr>
          <w:b w:val="0"/>
        </w:rPr>
        <w:t>H</w:t>
      </w:r>
    </w:p>
    <w:p>
      <w:pPr>
        <w:pStyle w:val="ListBullet"/>
      </w:pPr>
      <w:r>
        <w:rPr>
          <w:b w:val="0"/>
        </w:rPr>
        <w:t>I</w:t>
      </w:r>
    </w:p>
    <w:p>
      <w:pPr>
        <w:pStyle w:val="ListBullet"/>
      </w:pPr>
      <w:r>
        <w:rPr>
          <w:b w:val="0"/>
        </w:rPr>
        <w:t>G</w:t>
      </w:r>
    </w:p>
    <w:p>
      <w:pPr>
        <w:pStyle w:val="ListBullet"/>
      </w:pPr>
      <w:r>
        <w:rPr>
          <w:b w:val="0"/>
        </w:rPr>
        <w:t>H</w:t>
      </w:r>
    </w:p>
    <w:p>
      <w:pPr>
        <w:spacing w:after="120"/>
      </w:pPr>
      <w:r>
        <w:rPr>
          <w:b w:val="0"/>
          <w:i w:val="0"/>
        </w:rPr>
      </w:r>
      <w:r>
        <w:rPr>
          <w:b/>
          <w:i w:val="0"/>
        </w:rPr>
        <w:t>Legal basis for objection.</w:t>
      </w:r>
      <w:r>
        <w:rPr>
          <w:b w:val="0"/>
          <w:i w:val="0"/>
        </w:rPr>
      </w:r>
    </w:p>
    <w:p>
      <w:pPr>
        <w:pStyle w:val="ListBullet"/>
      </w:pPr>
      <w:r>
        <w:rPr>
          <w:b w:val="0"/>
        </w:rPr>
        <w:t>Several requests reach periods, custodians, or data not covered by the February 12, 2024 hold (pre-2018 data; Greenleaf JV engineers not on the 14-custodian list; personal devices; access logs).</w:t>
      </w:r>
    </w:p>
    <w:p>
      <w:pPr>
        <w:pStyle w:val="ListBullet"/>
      </w:pPr>
      <w:r>
        <w:rPr>
          <w:b w:val="0"/>
        </w:rPr>
        <w:t>CMO § 11 requires holds directed to "all custodians reasonably likely to possess relevant information"; Rule 37(e) sanctions attach to failures to take reasonable steps.</w:t>
      </w:r>
    </w:p>
    <w:p>
      <w:pPr>
        <w:spacing w:after="120"/>
      </w:pPr>
      <w:r>
        <w:rPr>
          <w:b w:val="0"/>
          <w:i w:val="0"/>
        </w:rPr>
      </w:r>
      <w:r>
        <w:rPr>
          <w:b/>
          <w:i w:val="0"/>
        </w:rPr>
        <w:t>Recommended objection / response and meet-and-confer position.</w:t>
      </w:r>
      <w:r>
        <w:rPr>
          <w:b w:val="0"/>
          <w:i w:val="0"/>
        </w:rPr>
      </w:r>
    </w:p>
    <w:p>
      <w:pPr>
        <w:pStyle w:val="ListBullet"/>
      </w:pPr>
      <w:r>
        <w:rPr>
          <w:b w:val="0"/>
        </w:rPr>
        <w:t>Fed. R. Civ. P. 37(e); CMO § 11; Rule 26(g)(1).</w:t>
      </w:r>
    </w:p>
    <w:p>
      <w:pPr>
        <w:pStyle w:val="Heading2"/>
      </w:pPr>
      <w:r>
        <w:t>L. Communications With Competitors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28</w:t>
            </w:r>
          </w:p>
        </w:tc>
        <w:tc>
          <w:tcPr>
            <w:tcW w:type="dxa" w:w="2304"/>
          </w:tcPr>
          <w:p>
            <w:r/>
            <w:r>
              <w:rPr>
                <w:sz w:val="19"/>
              </w:rPr>
              <w:t>['Produce communications with Helix, Triton and AquaPrime (and any other competitor) that concern the JV, Caspian, NanoSieve, Joint IP, PureLine 400 or membrane filtration technology, 2019–present, plus all Helix communications bearing on the counterclaim. Object to the remainder as overbroad.', "Confirm with Gregory Tan and Marcus Holt the nature of any Greenleaf–Helix dealings before the response is served; the counterclaim's credibility depends on Greenleaf's own contacts being clean."]</w:t>
            </w:r>
          </w:p>
        </w:tc>
      </w:tr>
    </w:tbl>
    <w:p/>
    <w:p>
      <w:pPr>
        <w:spacing w:after="120"/>
      </w:pPr>
      <w:r>
        <w:rPr>
          <w:b w:val="0"/>
          <w:i w:val="0"/>
        </w:rPr>
      </w:r>
      <w:r>
        <w:rPr>
          <w:b/>
          <w:i w:val="0"/>
        </w:rPr>
        <w:t>Nature of the problem.</w:t>
      </w:r>
      <w:r>
        <w:rPr>
          <w:b w:val="0"/>
          <w:i w:val="0"/>
        </w:rPr>
      </w:r>
    </w:p>
    <w:p>
      <w:pPr>
        <w:pStyle w:val="ListBullet"/>
      </w:pPr>
      <w:r>
        <w:rPr>
          <w:b w:val="0"/>
        </w:rPr>
        <w:t>M</w:t>
      </w:r>
    </w:p>
    <w:p>
      <w:pPr>
        <w:pStyle w:val="ListBullet"/>
      </w:pPr>
      <w:r>
        <w:rPr>
          <w:b w:val="0"/>
        </w:rPr>
        <w:t>E</w:t>
      </w:r>
    </w:p>
    <w:p>
      <w:pPr>
        <w:pStyle w:val="ListBullet"/>
      </w:pPr>
      <w:r>
        <w:rPr>
          <w:b w:val="0"/>
        </w:rPr>
        <w:t>D</w:t>
      </w:r>
    </w:p>
    <w:p>
      <w:pPr>
        <w:pStyle w:val="ListBullet"/>
      </w:pPr>
      <w:r>
        <w:rPr>
          <w:b w:val="0"/>
        </w:rPr>
        <w:t>I</w:t>
      </w:r>
    </w:p>
    <w:p>
      <w:pPr>
        <w:pStyle w:val="ListBullet"/>
      </w:pPr>
      <w:r>
        <w:rPr>
          <w:b w:val="0"/>
        </w:rPr>
        <w:t>U</w:t>
      </w:r>
    </w:p>
    <w:p>
      <w:pPr>
        <w:pStyle w:val="ListBullet"/>
      </w:pPr>
      <w:r>
        <w:rPr>
          <w:b w:val="0"/>
        </w:rPr>
        <w:t>M</w:t>
      </w:r>
    </w:p>
    <w:p>
      <w:pPr>
        <w:spacing w:after="120"/>
      </w:pPr>
      <w:r>
        <w:rPr>
          <w:b w:val="0"/>
          <w:i w:val="0"/>
        </w:rPr>
      </w:r>
      <w:r>
        <w:rPr>
          <w:b/>
          <w:i w:val="0"/>
        </w:rPr>
        <w:t>Legal basis for objection.</w:t>
      </w:r>
      <w:r>
        <w:rPr>
          <w:b w:val="0"/>
          <w:i w:val="0"/>
        </w:rPr>
      </w:r>
    </w:p>
    <w:p>
      <w:pPr>
        <w:pStyle w:val="ListBullet"/>
      </w:pPr>
      <w:r>
        <w:rPr>
          <w:b w:val="0"/>
        </w:rPr>
        <w:t>RFP 28 seeks all communications with any competitor (named: Helix Waterworks, Triton Filtration, AquaPrime Systems) on any subject since 2019 — which would cover routine industry, trade association, and supply communications.</w:t>
      </w:r>
    </w:p>
    <w:p>
      <w:pPr>
        <w:pStyle w:val="ListBullet"/>
      </w:pPr>
      <w:r>
        <w:rPr>
          <w:b w:val="0"/>
        </w:rPr>
        <w:t>But Greenleaf's own counterclaim alleges Caspian disclosed Greenleaf confidential information to Helix, and Diss. Agr. § 7.4 names all three companies. Greenleaf's communications with Helix concerning the JV, Caspian, PureLine 400, NanoSieve, or Greenleaf confidential information are plainly relevant to the counterclaim and cannot be withheld.</w:t>
      </w:r>
    </w:p>
    <w:p>
      <w:pPr>
        <w:pStyle w:val="ListBullet"/>
      </w:pPr>
      <w:r>
        <w:rPr>
          <w:b w:val="0"/>
        </w:rPr>
        <w:t>Competitor communications may also raise antitrust sensitivities.</w:t>
      </w:r>
    </w:p>
    <w:p>
      <w:pPr>
        <w:spacing w:after="120"/>
      </w:pPr>
      <w:r>
        <w:rPr>
          <w:b w:val="0"/>
          <w:i w:val="0"/>
        </w:rPr>
      </w:r>
      <w:r>
        <w:rPr>
          <w:b/>
          <w:i w:val="0"/>
        </w:rPr>
        <w:t>Recommended objection / response and meet-and-confer position.</w:t>
      </w:r>
      <w:r>
        <w:rPr>
          <w:b w:val="0"/>
          <w:i w:val="0"/>
        </w:rPr>
      </w:r>
    </w:p>
    <w:p>
      <w:pPr>
        <w:pStyle w:val="ListBullet"/>
      </w:pPr>
      <w:r>
        <w:rPr>
          <w:b w:val="0"/>
        </w:rPr>
        <w:t>Rule 26(b)(1); Rule 26(c)(1)(G).</w:t>
      </w:r>
    </w:p>
    <w:p>
      <w:pPr>
        <w:pStyle w:val="Heading2"/>
      </w:pPr>
      <w:r>
        <w:t>M. Contention-Style and Catch-All Requests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 41 (all documents that "support, contradict, or relate to" each affirmative defense and counterclaim); RFP 1</w:t>
            </w:r>
          </w:p>
        </w:tc>
        <w:tc>
          <w:tcPr>
            <w:tcW w:type="dxa" w:w="2304"/>
          </w:tcPr>
          <w:p>
            <w:r/>
            <w:r>
              <w:rPr>
                <w:sz w:val="19"/>
              </w:rPr>
              <w:t>['Agree to produce non-privileged documents Greenleaf currently intends to rely on to support its defenses and counterclaims, and state that documents bearing on those issues are being produced in response to other requests; object to the "relate to" and "contradict" formulations to the extent they require counsel to select and characterize documents. **RFP 1** (initial disclosure documents): no objection; produce.']</w:t>
            </w:r>
          </w:p>
        </w:tc>
      </w:tr>
    </w:tbl>
    <w:p/>
    <w:p>
      <w:pPr>
        <w:spacing w:after="120"/>
      </w:pPr>
      <w:r>
        <w:rPr>
          <w:b w:val="0"/>
          <w:i w:val="0"/>
        </w:rPr>
      </w:r>
      <w:r>
        <w:rPr>
          <w:b/>
          <w:i w:val="0"/>
        </w:rPr>
        <w:t>Nature of the problem.</w:t>
      </w:r>
      <w:r>
        <w:rPr>
          <w:b w:val="0"/>
          <w:i w:val="0"/>
        </w:rPr>
      </w:r>
    </w:p>
    <w:p>
      <w:pPr>
        <w:pStyle w:val="ListBullet"/>
      </w:pPr>
      <w:r>
        <w:rPr>
          <w:b w:val="0"/>
        </w:rPr>
        <w:t>M</w:t>
      </w:r>
    </w:p>
    <w:p>
      <w:pPr>
        <w:pStyle w:val="ListBullet"/>
      </w:pPr>
      <w:r>
        <w:rPr>
          <w:b w:val="0"/>
        </w:rPr>
        <w:t>E</w:t>
      </w:r>
    </w:p>
    <w:p>
      <w:pPr>
        <w:pStyle w:val="ListBullet"/>
      </w:pPr>
      <w:r>
        <w:rPr>
          <w:b w:val="0"/>
        </w:rPr>
        <w:t>D</w:t>
      </w:r>
    </w:p>
    <w:p>
      <w:pPr>
        <w:pStyle w:val="ListBullet"/>
      </w:pPr>
      <w:r>
        <w:rPr>
          <w:b w:val="0"/>
        </w:rPr>
        <w:t>I</w:t>
      </w:r>
    </w:p>
    <w:p>
      <w:pPr>
        <w:pStyle w:val="ListBullet"/>
      </w:pPr>
      <w:r>
        <w:rPr>
          <w:b w:val="0"/>
        </w:rPr>
        <w:t>U</w:t>
      </w:r>
    </w:p>
    <w:p>
      <w:pPr>
        <w:pStyle w:val="ListBullet"/>
      </w:pPr>
      <w:r>
        <w:rPr>
          <w:b w:val="0"/>
        </w:rPr>
        <w:t>M</w:t>
      </w:r>
    </w:p>
    <w:p>
      <w:pPr>
        <w:spacing w:after="120"/>
      </w:pPr>
      <w:r>
        <w:rPr>
          <w:b w:val="0"/>
          <w:i w:val="0"/>
        </w:rPr>
      </w:r>
      <w:r>
        <w:rPr>
          <w:b/>
          <w:i w:val="0"/>
        </w:rPr>
        <w:t>Legal basis for objection.</w:t>
      </w:r>
      <w:r>
        <w:rPr>
          <w:b w:val="0"/>
          <w:i w:val="0"/>
        </w:rPr>
      </w:r>
    </w:p>
    <w:p>
      <w:pPr>
        <w:pStyle w:val="ListBullet"/>
      </w:pPr>
      <w:r>
        <w:rPr>
          <w:b w:val="0"/>
        </w:rPr>
        <w:t>RFP 41 is unbounded as to "relate to" and effectively requests the entire case file; it also asks counsel to marshal evidence and reveals mental impressions about which documents are "inconsistent with or adverse to" Greenleaf's positions.</w:t>
      </w:r>
    </w:p>
    <w:p>
      <w:pPr>
        <w:spacing w:after="120"/>
      </w:pPr>
      <w:r>
        <w:rPr>
          <w:b w:val="0"/>
          <w:i w:val="0"/>
        </w:rPr>
      </w:r>
      <w:r>
        <w:rPr>
          <w:b/>
          <w:i w:val="0"/>
        </w:rPr>
        <w:t>Recommended objection / response and meet-and-confer position.</w:t>
      </w:r>
      <w:r>
        <w:rPr>
          <w:b w:val="0"/>
          <w:i w:val="0"/>
        </w:rPr>
      </w:r>
    </w:p>
    <w:p>
      <w:pPr>
        <w:pStyle w:val="ListBullet"/>
      </w:pPr>
      <w:r>
        <w:rPr>
          <w:b w:val="0"/>
        </w:rPr>
        <w:t>Rule 34(b)(1)(A) (reasonable particularity); Rule 26(b)(3)(B) (mental impressions); courts commonly limit "all documents relating to" contention requests to documents Greenleaf intends to rely on and documents responsive to other requests.</w:t>
      </w:r>
    </w:p>
    <w:p>
      <w:pPr>
        <w:pStyle w:val="Heading2"/>
      </w:pPr>
      <w:r>
        <w:t>N. Duplicative and Overlapping Requests</w:t>
      </w:r>
    </w:p>
    <w:tbl>
      <w:tblPr>
        <w:tblStyle w:val="TableGrid"/>
        <w:tblW w:type="auto" w:w="0"/>
        <w:tblLook w:firstColumn="1" w:firstRow="1" w:lastColumn="0" w:lastRow="0" w:noHBand="0" w:noVBand="1" w:val="04A0"/>
      </w:tblPr>
      <w:tblGrid>
        <w:gridCol w:w="4680"/>
        <w:gridCol w:w="4680"/>
      </w:tblGrid>
      <w:tr>
        <w:tc>
          <w:tcPr>
            <w:tcW w:type="dxa" w:w="7056"/>
            <w:shd w:val="clear" w:color="auto" w:fill="D9E2F3"/>
          </w:tcPr>
          <w:p>
            <w:r/>
            <w:r>
              <w:rPr>
                <w:b/>
                <w:sz w:val="19"/>
              </w:rPr>
              <w:t>RFP(s) affected</w:t>
            </w:r>
          </w:p>
        </w:tc>
        <w:tc>
          <w:tcPr>
            <w:tcW w:type="dxa" w:w="2304"/>
            <w:shd w:val="clear" w:color="auto" w:fill="D9E2F3"/>
          </w:tcPr>
          <w:p>
            <w:r/>
            <w:r>
              <w:rPr>
                <w:b/>
                <w:sz w:val="19"/>
              </w:rPr>
              <w:t>Priority</w:t>
            </w:r>
          </w:p>
        </w:tc>
      </w:tr>
      <w:tr>
        <w:tc>
          <w:tcPr>
            <w:tcW w:type="dxa" w:w="7056"/>
          </w:tcPr>
          <w:p>
            <w:r/>
            <w:r>
              <w:rPr>
                <w:sz w:val="19"/>
              </w:rPr>
              <w:t>RFPs 4/10/21/30 (party communications); 11/13 (dissolution); 25/22/5 (business case); 17/33/34 (personnel); 6/38 (board materials); 15/8/3 (R&amp;D)</w:t>
            </w:r>
          </w:p>
        </w:tc>
        <w:tc>
          <w:tcPr>
            <w:tcW w:type="dxa" w:w="2304"/>
          </w:tcPr>
          <w:p>
            <w:r/>
            <w:r>
              <w:rPr>
                <w:sz w:val="19"/>
              </w:rPr>
              <w:t>['Respond to the broader request and cross-reference ("Greenleaf refers Plaintiff to its response to Request No. __"). Note that party-to-party communications (RFPs 4, 10, 21, 30) and JV financial records (RFP 18) are also in Caspian\'s possession and, for JV books, available to Caspian under JV Agr. § 8.1 — a proportionality point, not a basis to refuse.', '**RFP 4 / RFP 11 relevance note:** Both agreements have integration clauses (JV Agr. § 15.1 — no prior draft may be used to interpret; Diss. Agr. § 11.1 — no extrinsic evidence). This goes to admissibility/interpretation, not discoverability; we should not lead with it as an objection but can preserve it.']</w:t>
            </w:r>
          </w:p>
        </w:tc>
      </w:tr>
    </w:tbl>
    <w:p/>
    <w:p>
      <w:pPr>
        <w:spacing w:after="120"/>
      </w:pPr>
      <w:r>
        <w:rPr>
          <w:b w:val="0"/>
          <w:i w:val="0"/>
        </w:rPr>
      </w:r>
      <w:r>
        <w:rPr>
          <w:b/>
          <w:i w:val="0"/>
        </w:rPr>
        <w:t>Nature of the problem.</w:t>
      </w:r>
      <w:r>
        <w:rPr>
          <w:b w:val="0"/>
          <w:i w:val="0"/>
        </w:rPr>
      </w:r>
    </w:p>
    <w:p>
      <w:pPr>
        <w:pStyle w:val="ListBullet"/>
      </w:pPr>
      <w:r>
        <w:rPr>
          <w:b w:val="0"/>
        </w:rPr>
        <w:t>L</w:t>
      </w:r>
    </w:p>
    <w:p>
      <w:pPr>
        <w:pStyle w:val="ListBullet"/>
      </w:pPr>
      <w:r>
        <w:rPr>
          <w:b w:val="0"/>
        </w:rPr>
        <w:t>O</w:t>
      </w:r>
    </w:p>
    <w:p>
      <w:pPr>
        <w:pStyle w:val="ListBullet"/>
      </w:pPr>
      <w:r>
        <w:rPr>
          <w:b w:val="0"/>
        </w:rPr>
        <w:t>W</w:t>
      </w:r>
    </w:p>
    <w:p>
      <w:pPr>
        <w:spacing w:after="120"/>
      </w:pPr>
      <w:r>
        <w:rPr>
          <w:b w:val="0"/>
          <w:i w:val="0"/>
        </w:rPr>
      </w:r>
      <w:r>
        <w:rPr>
          <w:b/>
          <w:i w:val="0"/>
        </w:rPr>
        <w:t>Legal basis for objection.</w:t>
      </w:r>
      <w:r>
        <w:rPr>
          <w:b w:val="0"/>
          <w:i w:val="0"/>
        </w:rPr>
      </w:r>
    </w:p>
    <w:p>
      <w:pPr>
        <w:pStyle w:val="ListBullet"/>
      </w:pPr>
      <w:r>
        <w:rPr>
          <w:b w:val="0"/>
        </w:rPr>
        <w:t>Many requests overlap by time period and subject, increasing review cost and creating risk of inconsistent responses.</w:t>
      </w:r>
    </w:p>
    <w:p>
      <w:pPr>
        <w:spacing w:after="120"/>
      </w:pPr>
      <w:r>
        <w:rPr>
          <w:b w:val="0"/>
          <w:i w:val="0"/>
        </w:rPr>
      </w:r>
      <w:r>
        <w:rPr>
          <w:b/>
          <w:i w:val="0"/>
        </w:rPr>
        <w:t>Recommended objection / response and meet-and-confer position.</w:t>
      </w:r>
      <w:r>
        <w:rPr>
          <w:b w:val="0"/>
          <w:i w:val="0"/>
        </w:rPr>
      </w:r>
    </w:p>
    <w:p>
      <w:pPr>
        <w:pStyle w:val="ListBullet"/>
      </w:pPr>
      <w:r>
        <w:rPr>
          <w:b w:val="0"/>
        </w:rPr>
        <w:t>Rule 26(b)(2)(C)(i) (unreasonably cumulative or duplicative).</w:t>
      </w:r>
    </w:p>
    <w:p>
      <w:pPr>
        <w:pStyle w:val="Heading1"/>
      </w:pPr>
      <w:r>
        <w:t>V. Requests Warranting Substantive Production (Minimal or No Objection)</w:t>
      </w:r>
    </w:p>
    <w:p>
      <w:pPr>
        <w:spacing w:after="120"/>
      </w:pPr>
      <w:r>
        <w:rPr>
          <w:b w:val="0"/>
          <w:i w:val="0"/>
        </w:rPr>
        <w:t>To show good faith and conserve credibility for the high-priority fights, I recommend producing the following without significant objection (subject to confidentiality designations and privilege):</w:t>
      </w:r>
    </w:p>
    <w:tbl>
      <w:tblPr>
        <w:tblStyle w:val="TableGrid"/>
        <w:tblW w:type="auto" w:w="0"/>
        <w:tblLook w:firstColumn="1" w:firstRow="1" w:lastColumn="0" w:lastRow="0" w:noHBand="0" w:noVBand="1" w:val="04A0"/>
      </w:tblPr>
      <w:tblGrid>
        <w:gridCol w:w="3120"/>
        <w:gridCol w:w="3120"/>
        <w:gridCol w:w="3120"/>
      </w:tblGrid>
      <w:tr>
        <w:tc>
          <w:tcPr>
            <w:tcW w:type="dxa" w:w="864"/>
            <w:shd w:val="clear" w:color="auto" w:fill="D9E2F3"/>
          </w:tcPr>
          <w:p>
            <w:r/>
            <w:r>
              <w:rPr>
                <w:b/>
                <w:sz w:val="19"/>
              </w:rPr>
              <w:t>RFP</w:t>
            </w:r>
          </w:p>
        </w:tc>
        <w:tc>
          <w:tcPr>
            <w:tcW w:type="dxa" w:w="3456"/>
            <w:shd w:val="clear" w:color="auto" w:fill="D9E2F3"/>
          </w:tcPr>
          <w:p>
            <w:r/>
            <w:r>
              <w:rPr>
                <w:b/>
                <w:sz w:val="19"/>
              </w:rPr>
              <w:t>Subject</w:t>
            </w:r>
          </w:p>
        </w:tc>
        <w:tc>
          <w:tcPr>
            <w:tcW w:type="dxa" w:w="5040"/>
            <w:shd w:val="clear" w:color="auto" w:fill="D9E2F3"/>
          </w:tcPr>
          <w:p>
            <w:r/>
            <w:r>
              <w:rPr>
                <w:b/>
                <w:sz w:val="19"/>
              </w:rPr>
              <w:t>Notes</w:t>
            </w:r>
          </w:p>
        </w:tc>
      </w:tr>
      <w:tr>
        <w:tc>
          <w:tcPr>
            <w:tcW w:type="dxa" w:w="864"/>
          </w:tcPr>
          <w:p>
            <w:r/>
            <w:r>
              <w:rPr>
                <w:sz w:val="19"/>
              </w:rPr>
              <w:t>1</w:t>
            </w:r>
          </w:p>
        </w:tc>
        <w:tc>
          <w:tcPr>
            <w:tcW w:type="dxa" w:w="3456"/>
          </w:tcPr>
          <w:p>
            <w:r/>
            <w:r>
              <w:rPr>
                <w:sz w:val="19"/>
              </w:rPr>
              <w:t>Initial disclosure documents</w:t>
            </w:r>
          </w:p>
        </w:tc>
        <w:tc>
          <w:tcPr>
            <w:tcW w:type="dxa" w:w="5040"/>
          </w:tcPr>
          <w:p>
            <w:r/>
            <w:r>
              <w:rPr>
                <w:sz w:val="19"/>
              </w:rPr>
              <w:t>Produce.</w:t>
            </w:r>
          </w:p>
        </w:tc>
      </w:tr>
      <w:tr>
        <w:tc>
          <w:tcPr>
            <w:tcW w:type="dxa" w:w="864"/>
          </w:tcPr>
          <w:p>
            <w:r/>
            <w:r>
              <w:rPr>
                <w:sz w:val="19"/>
              </w:rPr>
              <w:t>2</w:t>
            </w:r>
          </w:p>
        </w:tc>
        <w:tc>
          <w:tcPr>
            <w:tcW w:type="dxa" w:w="3456"/>
          </w:tcPr>
          <w:p>
            <w:r/>
            <w:r>
              <w:rPr>
                <w:sz w:val="19"/>
              </w:rPr>
              <w:t>Executed JV and Dissolution Agreements, amendments, exhibits</w:t>
            </w:r>
          </w:p>
        </w:tc>
        <w:tc>
          <w:tcPr>
            <w:tcW w:type="dxa" w:w="5040"/>
          </w:tcPr>
          <w:p>
            <w:r/>
            <w:r>
              <w:rPr>
                <w:sz w:val="19"/>
              </w:rPr>
              <w:t>Produce; include Facilities Use Agreement (Ex. B), Oct. 22, 2018 NDA, and the NanoSieve confidential schedule summary if incorporated. Flag patent-number inconsistency.</w:t>
            </w:r>
          </w:p>
        </w:tc>
      </w:tr>
      <w:tr>
        <w:tc>
          <w:tcPr>
            <w:tcW w:type="dxa" w:w="864"/>
          </w:tcPr>
          <w:p>
            <w:r/>
            <w:r>
              <w:rPr>
                <w:sz w:val="19"/>
              </w:rPr>
              <w:t>10</w:t>
            </w:r>
          </w:p>
        </w:tc>
        <w:tc>
          <w:tcPr>
            <w:tcW w:type="dxa" w:w="3456"/>
          </w:tcPr>
          <w:p>
            <w:r/>
            <w:r>
              <w:rPr>
                <w:sz w:val="19"/>
              </w:rPr>
              <w:t>Party communications re JV operations, 2019–Sept. 2023</w:t>
            </w:r>
          </w:p>
        </w:tc>
        <w:tc>
          <w:tcPr>
            <w:tcW w:type="dxa" w:w="5040"/>
          </w:tcPr>
          <w:p>
            <w:r/>
            <w:r>
              <w:rPr>
                <w:sz w:val="19"/>
              </w:rPr>
              <w:t>Produce (Management Committee minutes required by JV Agr. § 5.3).</w:t>
            </w:r>
          </w:p>
        </w:tc>
      </w:tr>
      <w:tr>
        <w:tc>
          <w:tcPr>
            <w:tcW w:type="dxa" w:w="864"/>
          </w:tcPr>
          <w:p>
            <w:r/>
            <w:r>
              <w:rPr>
                <w:sz w:val="19"/>
              </w:rPr>
              <w:t>18</w:t>
            </w:r>
          </w:p>
        </w:tc>
        <w:tc>
          <w:tcPr>
            <w:tcW w:type="dxa" w:w="3456"/>
          </w:tcPr>
          <w:p>
            <w:r/>
            <w:r>
              <w:rPr>
                <w:sz w:val="19"/>
              </w:rPr>
              <w:t>JV financial statements 2019–2023</w:t>
            </w:r>
          </w:p>
        </w:tc>
        <w:tc>
          <w:tcPr>
            <w:tcW w:type="dxa" w:w="5040"/>
          </w:tcPr>
          <w:p>
            <w:r/>
            <w:r>
              <w:rPr>
                <w:sz w:val="19"/>
              </w:rPr>
              <w:t>Produce; CONFIDENTIAL.</w:t>
            </w:r>
          </w:p>
        </w:tc>
      </w:tr>
      <w:tr>
        <w:tc>
          <w:tcPr>
            <w:tcW w:type="dxa" w:w="864"/>
          </w:tcPr>
          <w:p>
            <w:r/>
            <w:r>
              <w:rPr>
                <w:sz w:val="19"/>
              </w:rPr>
              <w:t>20</w:t>
            </w:r>
          </w:p>
        </w:tc>
        <w:tc>
          <w:tcPr>
            <w:tcW w:type="dxa" w:w="3456"/>
          </w:tcPr>
          <w:p>
            <w:r/>
            <w:r>
              <w:rPr>
                <w:sz w:val="19"/>
              </w:rPr>
              <w:t>Greenleaf capital contributions ($14.3M)</w:t>
            </w:r>
          </w:p>
        </w:tc>
        <w:tc>
          <w:tcPr>
            <w:tcW w:type="dxa" w:w="5040"/>
          </w:tcPr>
          <w:p>
            <w:r/>
            <w:r>
              <w:rPr>
                <w:sz w:val="19"/>
              </w:rPr>
              <w:t>Produce.</w:t>
            </w:r>
          </w:p>
        </w:tc>
      </w:tr>
      <w:tr>
        <w:tc>
          <w:tcPr>
            <w:tcW w:type="dxa" w:w="864"/>
          </w:tcPr>
          <w:p>
            <w:r/>
            <w:r>
              <w:rPr>
                <w:sz w:val="19"/>
              </w:rPr>
              <w:t>21</w:t>
            </w:r>
          </w:p>
        </w:tc>
        <w:tc>
          <w:tcPr>
            <w:tcW w:type="dxa" w:w="3456"/>
          </w:tcPr>
          <w:p>
            <w:r/>
            <w:r>
              <w:rPr>
                <w:sz w:val="19"/>
              </w:rPr>
              <w:t>Holt–Subramaniam communications</w:t>
            </w:r>
          </w:p>
        </w:tc>
        <w:tc>
          <w:tcPr>
            <w:tcW w:type="dxa" w:w="5040"/>
          </w:tcPr>
          <w:p>
            <w:r/>
            <w:r>
              <w:rPr>
                <w:sz w:val="19"/>
              </w:rPr>
              <w:t>Produce from Jan. 1, 2018; privilege screen for forwards to counsel.</w:t>
            </w:r>
          </w:p>
        </w:tc>
      </w:tr>
      <w:tr>
        <w:tc>
          <w:tcPr>
            <w:tcW w:type="dxa" w:w="864"/>
          </w:tcPr>
          <w:p>
            <w:r/>
            <w:r>
              <w:rPr>
                <w:sz w:val="19"/>
              </w:rPr>
              <w:t>23</w:t>
            </w:r>
          </w:p>
        </w:tc>
        <w:tc>
          <w:tcPr>
            <w:tcW w:type="dxa" w:w="3456"/>
          </w:tcPr>
          <w:p>
            <w:r/>
            <w:r>
              <w:rPr>
                <w:sz w:val="19"/>
              </w:rPr>
              <w:t>Wind-down data segregation/return</w:t>
            </w:r>
          </w:p>
        </w:tc>
        <w:tc>
          <w:tcPr>
            <w:tcW w:type="dxa" w:w="5040"/>
          </w:tcPr>
          <w:p>
            <w:r/>
            <w:r>
              <w:rPr>
                <w:sz w:val="19"/>
              </w:rPr>
              <w:t>Produce; confirm § 5.3 officer certification was delivered — if not, anticipate a breach argument.</w:t>
            </w:r>
          </w:p>
        </w:tc>
      </w:tr>
      <w:tr>
        <w:tc>
          <w:tcPr>
            <w:tcW w:type="dxa" w:w="864"/>
          </w:tcPr>
          <w:p>
            <w:r/>
            <w:r>
              <w:rPr>
                <w:sz w:val="19"/>
              </w:rPr>
              <w:t>29</w:t>
            </w:r>
          </w:p>
        </w:tc>
        <w:tc>
          <w:tcPr>
            <w:tcW w:type="dxa" w:w="3456"/>
          </w:tcPr>
          <w:p>
            <w:r/>
            <w:r>
              <w:rPr>
                <w:sz w:val="19"/>
              </w:rPr>
              <w:t>Third-party licensing of Joint IP</w:t>
            </w:r>
          </w:p>
        </w:tc>
        <w:tc>
          <w:tcPr>
            <w:tcW w:type="dxa" w:w="5040"/>
          </w:tcPr>
          <w:p>
            <w:r/>
            <w:r>
              <w:rPr>
                <w:sz w:val="19"/>
              </w:rPr>
              <w:t>Produce (or state none exist after reasonable search); ties to Diss. Agr. § 8.2(a) representation.</w:t>
            </w:r>
          </w:p>
        </w:tc>
      </w:tr>
      <w:tr>
        <w:tc>
          <w:tcPr>
            <w:tcW w:type="dxa" w:w="864"/>
          </w:tcPr>
          <w:p>
            <w:r/>
            <w:r>
              <w:rPr>
                <w:sz w:val="19"/>
              </w:rPr>
              <w:t>32</w:t>
            </w:r>
          </w:p>
        </w:tc>
        <w:tc>
          <w:tcPr>
            <w:tcW w:type="dxa" w:w="3456"/>
          </w:tcPr>
          <w:p>
            <w:r/>
            <w:r>
              <w:rPr>
                <w:sz w:val="19"/>
              </w:rPr>
              <w:t>Training on handling Caspian information</w:t>
            </w:r>
          </w:p>
        </w:tc>
        <w:tc>
          <w:tcPr>
            <w:tcW w:type="dxa" w:w="5040"/>
          </w:tcPr>
          <w:p>
            <w:r/>
            <w:r>
              <w:rPr>
                <w:sz w:val="19"/>
              </w:rPr>
              <w:t>Produce; helpful to Greenleaf if robust.</w:t>
            </w:r>
          </w:p>
        </w:tc>
      </w:tr>
      <w:tr>
        <w:tc>
          <w:tcPr>
            <w:tcW w:type="dxa" w:w="864"/>
          </w:tcPr>
          <w:p>
            <w:r/>
            <w:r>
              <w:rPr>
                <w:sz w:val="19"/>
              </w:rPr>
              <w:t>34</w:t>
            </w:r>
          </w:p>
        </w:tc>
        <w:tc>
          <w:tcPr>
            <w:tcW w:type="dxa" w:w="3456"/>
          </w:tcPr>
          <w:p>
            <w:r/>
            <w:r>
              <w:rPr>
                <w:sz w:val="19"/>
              </w:rPr>
              <w:t>NDAs/invention assignment for JV, NanoSieve-access, PureLine 400 personnel</w:t>
            </w:r>
          </w:p>
        </w:tc>
        <w:tc>
          <w:tcPr>
            <w:tcW w:type="dxa" w:w="5040"/>
          </w:tcPr>
          <w:p>
            <w:r/>
            <w:r>
              <w:rPr>
                <w:sz w:val="19"/>
              </w:rPr>
              <w:t>Produce; CONFIDENTIAL. Required by JV Agr. § 6.5.</w:t>
            </w:r>
          </w:p>
        </w:tc>
      </w:tr>
      <w:tr>
        <w:tc>
          <w:tcPr>
            <w:tcW w:type="dxa" w:w="864"/>
          </w:tcPr>
          <w:p>
            <w:r/>
            <w:r>
              <w:rPr>
                <w:sz w:val="19"/>
              </w:rPr>
              <w:t>39</w:t>
            </w:r>
          </w:p>
        </w:tc>
        <w:tc>
          <w:tcPr>
            <w:tcW w:type="dxa" w:w="3456"/>
          </w:tcPr>
          <w:p>
            <w:r/>
            <w:r>
              <w:rPr>
                <w:sz w:val="19"/>
              </w:rPr>
              <w:t>PureLine 400 testing</w:t>
            </w:r>
          </w:p>
        </w:tc>
        <w:tc>
          <w:tcPr>
            <w:tcW w:type="dxa" w:w="5040"/>
          </w:tcPr>
          <w:p>
            <w:r/>
            <w:r>
              <w:rPr>
                <w:sz w:val="19"/>
              </w:rPr>
              <w:t>Produce as AEO (membrane performance data core to non-infringement counterclaim).</w:t>
            </w:r>
          </w:p>
        </w:tc>
      </w:tr>
      <w:tr>
        <w:tc>
          <w:tcPr>
            <w:tcW w:type="dxa" w:w="864"/>
          </w:tcPr>
          <w:p>
            <w:r/>
            <w:r>
              <w:rPr>
                <w:sz w:val="19"/>
              </w:rPr>
              <w:t>42</w:t>
            </w:r>
          </w:p>
        </w:tc>
        <w:tc>
          <w:tcPr>
            <w:tcW w:type="dxa" w:w="3456"/>
          </w:tcPr>
          <w:p>
            <w:r/>
            <w:r>
              <w:rPr>
                <w:sz w:val="19"/>
              </w:rPr>
              <w:t>Communications with Ostrowski post-departure</w:t>
            </w:r>
          </w:p>
        </w:tc>
        <w:tc>
          <w:tcPr>
            <w:tcW w:type="dxa" w:w="5040"/>
          </w:tcPr>
          <w:p>
            <w:r/>
            <w:r>
              <w:rPr>
                <w:sz w:val="19"/>
              </w:rPr>
              <w:t>Produce; seek reciprocal discovery from Caspian.</w:t>
            </w:r>
          </w:p>
        </w:tc>
      </w:tr>
      <w:tr>
        <w:tc>
          <w:tcPr>
            <w:tcW w:type="dxa" w:w="864"/>
          </w:tcPr>
          <w:p>
            <w:r/>
            <w:r>
              <w:rPr>
                <w:sz w:val="19"/>
              </w:rPr>
              <w:t>43</w:t>
            </w:r>
          </w:p>
        </w:tc>
        <w:tc>
          <w:tcPr>
            <w:tcW w:type="dxa" w:w="3456"/>
          </w:tcPr>
          <w:p>
            <w:r/>
            <w:r>
              <w:rPr>
                <w:sz w:val="19"/>
              </w:rPr>
              <w:t>Trade secret protection policies</w:t>
            </w:r>
          </w:p>
        </w:tc>
        <w:tc>
          <w:tcPr>
            <w:tcW w:type="dxa" w:w="5040"/>
          </w:tcPr>
          <w:p>
            <w:r/>
            <w:r>
              <w:rPr>
                <w:sz w:val="19"/>
              </w:rPr>
              <w:t>Produce policies in effect 2018–present (not every draft); relevant to Greenleaf's counterclaim as well.</w:t>
            </w:r>
          </w:p>
        </w:tc>
      </w:tr>
    </w:tbl>
    <w:p/>
    <w:p>
      <w:pPr>
        <w:pStyle w:val="Heading1"/>
      </w:pPr>
      <w:r>
        <w:t>VI. Recommended Next Steps and Timeline</w:t>
      </w:r>
    </w:p>
    <w:tbl>
      <w:tblPr>
        <w:tblStyle w:val="TableGrid"/>
        <w:tblW w:type="auto" w:w="0"/>
        <w:tblLook w:firstColumn="1" w:firstRow="1" w:lastColumn="0" w:lastRow="0" w:noHBand="0" w:noVBand="1" w:val="04A0"/>
      </w:tblPr>
      <w:tblGrid>
        <w:gridCol w:w="3120"/>
        <w:gridCol w:w="3120"/>
        <w:gridCol w:w="3120"/>
      </w:tblGrid>
      <w:tr>
        <w:tc>
          <w:tcPr>
            <w:tcW w:type="dxa" w:w="5184"/>
            <w:shd w:val="clear" w:color="auto" w:fill="D9E2F3"/>
          </w:tcPr>
          <w:p>
            <w:r/>
            <w:r>
              <w:rPr>
                <w:b/>
                <w:sz w:val="19"/>
              </w:rPr>
              <w:t>Action</w:t>
            </w:r>
          </w:p>
        </w:tc>
        <w:tc>
          <w:tcPr>
            <w:tcW w:type="dxa" w:w="2016"/>
            <w:shd w:val="clear" w:color="auto" w:fill="D9E2F3"/>
          </w:tcPr>
          <w:p>
            <w:r/>
            <w:r>
              <w:rPr>
                <w:b/>
                <w:sz w:val="19"/>
              </w:rPr>
              <w:t>Owner</w:t>
            </w:r>
          </w:p>
        </w:tc>
        <w:tc>
          <w:tcPr>
            <w:tcW w:type="dxa" w:w="2160"/>
            <w:shd w:val="clear" w:color="auto" w:fill="D9E2F3"/>
          </w:tcPr>
          <w:p>
            <w:r/>
            <w:r>
              <w:rPr>
                <w:b/>
                <w:sz w:val="19"/>
              </w:rPr>
              <w:t>Target date</w:t>
            </w:r>
          </w:p>
        </w:tc>
      </w:tr>
      <w:tr>
        <w:tc>
          <w:tcPr>
            <w:tcW w:type="dxa" w:w="5184"/>
          </w:tcPr>
          <w:p>
            <w:r/>
            <w:r>
              <w:rPr>
                <w:sz w:val="19"/>
              </w:rPr>
              <w:t>Decide whether to amend Counterclaim II to cite JV Agr. § 11.1 and Diss. Agr. § 7.4 (CMO § 2 deadline)</w:t>
            </w:r>
          </w:p>
        </w:tc>
        <w:tc>
          <w:tcPr>
            <w:tcW w:type="dxa" w:w="2016"/>
          </w:tcPr>
          <w:p>
            <w:r/>
            <w:r>
              <w:rPr>
                <w:sz w:val="19"/>
              </w:rPr>
              <w:t>JA / DK</w:t>
            </w:r>
          </w:p>
        </w:tc>
        <w:tc>
          <w:tcPr>
            <w:tcW w:type="dxa" w:w="2160"/>
          </w:tcPr>
          <w:p>
            <w:r/>
            <w:r>
              <w:rPr>
                <w:sz w:val="19"/>
              </w:rPr>
              <w:t>Before Aug. 30, 2024</w:t>
            </w:r>
          </w:p>
        </w:tc>
      </w:tr>
      <w:tr>
        <w:tc>
          <w:tcPr>
            <w:tcW w:type="dxa" w:w="5184"/>
          </w:tcPr>
          <w:p>
            <w:r/>
            <w:r>
              <w:rPr>
                <w:sz w:val="19"/>
              </w:rPr>
              <w:t>Call Megan Forsythe re extension; if agreed, file consent motion (CMO § 12) and circulate proposed Rule 502(d) order</w:t>
            </w:r>
          </w:p>
        </w:tc>
        <w:tc>
          <w:tcPr>
            <w:tcW w:type="dxa" w:w="2016"/>
          </w:tcPr>
          <w:p>
            <w:r/>
            <w:r>
              <w:rPr>
                <w:sz w:val="19"/>
              </w:rPr>
              <w:t>DK</w:t>
            </w:r>
          </w:p>
        </w:tc>
        <w:tc>
          <w:tcPr>
            <w:tcW w:type="dxa" w:w="2160"/>
          </w:tcPr>
          <w:p>
            <w:r/>
            <w:r>
              <w:rPr>
                <w:sz w:val="19"/>
              </w:rPr>
              <w:t>Week of Aug. 26</w:t>
            </w:r>
          </w:p>
        </w:tc>
      </w:tr>
      <w:tr>
        <w:tc>
          <w:tcPr>
            <w:tcW w:type="dxa" w:w="5184"/>
          </w:tcPr>
          <w:p>
            <w:r/>
            <w:r>
              <w:rPr>
                <w:sz w:val="19"/>
              </w:rPr>
              <w:t>Pull and verify Sterling Ark credit agreement (confidentiality §) and Ridgepoint engagement letter</w:t>
            </w:r>
          </w:p>
        </w:tc>
        <w:tc>
          <w:tcPr>
            <w:tcW w:type="dxa" w:w="2016"/>
          </w:tcPr>
          <w:p>
            <w:r/>
            <w:r>
              <w:rPr>
                <w:sz w:val="19"/>
              </w:rPr>
              <w:t>Associate / P. Yuen</w:t>
            </w:r>
          </w:p>
        </w:tc>
        <w:tc>
          <w:tcPr>
            <w:tcW w:type="dxa" w:w="2160"/>
          </w:tcPr>
          <w:p>
            <w:r/>
            <w:r>
              <w:rPr>
                <w:sz w:val="19"/>
              </w:rPr>
              <w:t>Aug. 28</w:t>
            </w:r>
          </w:p>
        </w:tc>
      </w:tr>
      <w:tr>
        <w:tc>
          <w:tcPr>
            <w:tcW w:type="dxa" w:w="5184"/>
          </w:tcPr>
          <w:p>
            <w:r/>
            <w:r>
              <w:rPr>
                <w:sz w:val="19"/>
              </w:rPr>
              <w:t>Client interviews: pre-2018 membrane R&amp;D (Rao, Cross); PureLine 400 origin and any internal review (Linden, Wainwright); Helix contacts (Tan, Holt); product-line count</w:t>
            </w:r>
          </w:p>
        </w:tc>
        <w:tc>
          <w:tcPr>
            <w:tcW w:type="dxa" w:w="2016"/>
          </w:tcPr>
          <w:p>
            <w:r/>
            <w:r>
              <w:rPr>
                <w:sz w:val="19"/>
              </w:rPr>
              <w:t>Team / P. Yuen</w:t>
            </w:r>
          </w:p>
        </w:tc>
        <w:tc>
          <w:tcPr>
            <w:tcW w:type="dxa" w:w="2160"/>
          </w:tcPr>
          <w:p>
            <w:r/>
            <w:r>
              <w:rPr>
                <w:sz w:val="19"/>
              </w:rPr>
              <w:t>Aug. 30</w:t>
            </w:r>
          </w:p>
        </w:tc>
      </w:tr>
      <w:tr>
        <w:tc>
          <w:tcPr>
            <w:tcW w:type="dxa" w:w="5184"/>
          </w:tcPr>
          <w:p>
            <w:r/>
            <w:r>
              <w:rPr>
                <w:sz w:val="19"/>
              </w:rPr>
              <w:t>Confirm preservation status (Ostrowski devices/accounts; access logs; remaining JV engineers) and issue supplemental hold</w:t>
            </w:r>
          </w:p>
        </w:tc>
        <w:tc>
          <w:tcPr>
            <w:tcW w:type="dxa" w:w="2016"/>
          </w:tcPr>
          <w:p>
            <w:r/>
            <w:r>
              <w:rPr>
                <w:sz w:val="19"/>
              </w:rPr>
              <w:t>P. Yuen / R. Cho</w:t>
            </w:r>
          </w:p>
        </w:tc>
        <w:tc>
          <w:tcPr>
            <w:tcW w:type="dxa" w:w="2160"/>
          </w:tcPr>
          <w:p>
            <w:r/>
            <w:r>
              <w:rPr>
                <w:sz w:val="19"/>
              </w:rPr>
              <w:t>Aug. 30</w:t>
            </w:r>
          </w:p>
        </w:tc>
      </w:tr>
      <w:tr>
        <w:tc>
          <w:tcPr>
            <w:tcW w:type="dxa" w:w="5184"/>
          </w:tcPr>
          <w:p>
            <w:r/>
            <w:r>
              <w:rPr>
                <w:sz w:val="19"/>
              </w:rPr>
              <w:t>Real-time meet-and-confer, lead counsel (CMO § 9): trade secret identification, log format, time window, product-line scope, database exports, RFP 9 secure review</w:t>
            </w:r>
          </w:p>
        </w:tc>
        <w:tc>
          <w:tcPr>
            <w:tcW w:type="dxa" w:w="2016"/>
          </w:tcPr>
          <w:p>
            <w:r/>
            <w:r>
              <w:rPr>
                <w:sz w:val="19"/>
              </w:rPr>
              <w:t>JA</w:t>
            </w:r>
          </w:p>
        </w:tc>
        <w:tc>
          <w:tcPr>
            <w:tcW w:type="dxa" w:w="2160"/>
          </w:tcPr>
          <w:p>
            <w:r/>
            <w:r>
              <w:rPr>
                <w:sz w:val="19"/>
              </w:rPr>
              <w:t>Early Sept.</w:t>
            </w:r>
          </w:p>
        </w:tc>
      </w:tr>
      <w:tr>
        <w:tc>
          <w:tcPr>
            <w:tcW w:type="dxa" w:w="5184"/>
          </w:tcPr>
          <w:p>
            <w:r/>
            <w:r>
              <w:rPr>
                <w:sz w:val="19"/>
              </w:rPr>
              <w:t>Draft written responses and objections (request-specific; Rule 34(b)(2)(C) withholding statements; production dates)</w:t>
            </w:r>
          </w:p>
        </w:tc>
        <w:tc>
          <w:tcPr>
            <w:tcW w:type="dxa" w:w="2016"/>
          </w:tcPr>
          <w:p>
            <w:r/>
            <w:r>
              <w:rPr>
                <w:sz w:val="19"/>
              </w:rPr>
              <w:t>Associate</w:t>
            </w:r>
          </w:p>
        </w:tc>
        <w:tc>
          <w:tcPr>
            <w:tcW w:type="dxa" w:w="2160"/>
          </w:tcPr>
          <w:p>
            <w:r/>
            <w:r>
              <w:rPr>
                <w:sz w:val="19"/>
              </w:rPr>
              <w:t>Draft Sept. 4</w:t>
            </w:r>
          </w:p>
        </w:tc>
      </w:tr>
      <w:tr>
        <w:tc>
          <w:tcPr>
            <w:tcW w:type="dxa" w:w="5184"/>
          </w:tcPr>
          <w:p>
            <w:r/>
            <w:r>
              <w:rPr>
                <w:sz w:val="19"/>
              </w:rPr>
              <w:t>Client decision on advice-of-counsel reliance</w:t>
            </w:r>
          </w:p>
        </w:tc>
        <w:tc>
          <w:tcPr>
            <w:tcW w:type="dxa" w:w="2016"/>
          </w:tcPr>
          <w:p>
            <w:r/>
            <w:r>
              <w:rPr>
                <w:sz w:val="19"/>
              </w:rPr>
              <w:t>JA / Client</w:t>
            </w:r>
          </w:p>
        </w:tc>
        <w:tc>
          <w:tcPr>
            <w:tcW w:type="dxa" w:w="2160"/>
          </w:tcPr>
          <w:p>
            <w:r/>
            <w:r>
              <w:rPr>
                <w:sz w:val="19"/>
              </w:rPr>
              <w:t>Before responses served</w:t>
            </w:r>
          </w:p>
        </w:tc>
      </w:tr>
      <w:tr>
        <w:tc>
          <w:tcPr>
            <w:tcW w:type="dxa" w:w="5184"/>
          </w:tcPr>
          <w:p>
            <w:r/>
            <w:r>
              <w:rPr>
                <w:sz w:val="19"/>
              </w:rPr>
              <w:t>Serve responses (absent court-approved extension)</w:t>
            </w:r>
          </w:p>
        </w:tc>
        <w:tc>
          <w:tcPr>
            <w:tcW w:type="dxa" w:w="2016"/>
          </w:tcPr>
          <w:p>
            <w:r/>
            <w:r>
              <w:rPr>
                <w:sz w:val="19"/>
              </w:rPr>
              <w:t>JA / DK</w:t>
            </w:r>
          </w:p>
        </w:tc>
        <w:tc>
          <w:tcPr>
            <w:tcW w:type="dxa" w:w="2160"/>
          </w:tcPr>
          <w:p>
            <w:r/>
            <w:r>
              <w:rPr>
                <w:sz w:val="19"/>
              </w:rPr>
              <w:t>Sept. 11, 2024</w:t>
            </w:r>
          </w:p>
        </w:tc>
      </w:tr>
    </w:tbl>
    <w:p/>
    <w:p>
      <w:pPr>
        <w:pStyle w:val="Heading1"/>
      </w:pPr>
      <w:r>
        <w:t>Appendix A — Request-by-Request Chart (RFP Nos. 1–46)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648"/>
            <w:shd w:val="clear" w:color="auto" w:fill="D9E2F3"/>
          </w:tcPr>
          <w:p>
            <w:r/>
            <w:r>
              <w:rPr>
                <w:b/>
                <w:sz w:val="19"/>
              </w:rPr>
              <w:t>RFP</w:t>
            </w:r>
          </w:p>
        </w:tc>
        <w:tc>
          <w:tcPr>
            <w:tcW w:type="dxa" w:w="2304"/>
            <w:shd w:val="clear" w:color="auto" w:fill="D9E2F3"/>
          </w:tcPr>
          <w:p>
            <w:r/>
            <w:r>
              <w:rPr>
                <w:b/>
                <w:sz w:val="19"/>
              </w:rPr>
              <w:t>Subject</w:t>
            </w:r>
          </w:p>
        </w:tc>
        <w:tc>
          <w:tcPr>
            <w:tcW w:type="dxa" w:w="2592"/>
            <w:shd w:val="clear" w:color="auto" w:fill="D9E2F3"/>
          </w:tcPr>
          <w:p>
            <w:r/>
            <w:r>
              <w:rPr>
                <w:b/>
                <w:sz w:val="19"/>
              </w:rPr>
              <w:t>Principal issue(s)</w:t>
            </w:r>
          </w:p>
        </w:tc>
        <w:tc>
          <w:tcPr>
            <w:tcW w:type="dxa" w:w="2808"/>
            <w:shd w:val="clear" w:color="auto" w:fill="D9E2F3"/>
          </w:tcPr>
          <w:p>
            <w:r/>
            <w:r>
              <w:rPr>
                <w:b/>
                <w:sz w:val="19"/>
              </w:rPr>
              <w:t>Recommended position</w:t>
            </w:r>
          </w:p>
        </w:tc>
        <w:tc>
          <w:tcPr>
            <w:tcW w:type="dxa" w:w="1008"/>
            <w:shd w:val="clear" w:color="auto" w:fill="D9E2F3"/>
          </w:tcPr>
          <w:p>
            <w:r/>
            <w:r>
              <w:rPr>
                <w:b/>
                <w:sz w:val="19"/>
              </w:rPr>
              <w:t>Priority</w:t>
            </w:r>
          </w:p>
        </w:tc>
      </w:tr>
      <w:tr>
        <w:tc>
          <w:tcPr>
            <w:tcW w:type="dxa" w:w="648"/>
          </w:tcPr>
          <w:p>
            <w:r/>
            <w:r>
              <w:rPr>
                <w:sz w:val="19"/>
              </w:rPr>
              <w:t>1</w:t>
            </w:r>
          </w:p>
        </w:tc>
        <w:tc>
          <w:tcPr>
            <w:tcW w:type="dxa" w:w="2304"/>
          </w:tcPr>
          <w:p>
            <w:r/>
            <w:r>
              <w:rPr>
                <w:sz w:val="19"/>
              </w:rPr>
              <w:t>Initial disclosure documents</w:t>
            </w:r>
          </w:p>
        </w:tc>
        <w:tc>
          <w:tcPr>
            <w:tcW w:type="dxa" w:w="2592"/>
          </w:tcPr>
          <w:p>
            <w:r/>
            <w:r>
              <w:rPr>
                <w:sz w:val="19"/>
              </w:rPr>
              <w:t>None significant</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2</w:t>
            </w:r>
          </w:p>
        </w:tc>
        <w:tc>
          <w:tcPr>
            <w:tcW w:type="dxa" w:w="2304"/>
          </w:tcPr>
          <w:p>
            <w:r/>
            <w:r>
              <w:rPr>
                <w:sz w:val="19"/>
              </w:rPr>
              <w:t>Executed agreements, exhibits, side letters</w:t>
            </w:r>
          </w:p>
        </w:tc>
        <w:tc>
          <w:tcPr>
            <w:tcW w:type="dxa" w:w="2592"/>
          </w:tcPr>
          <w:p>
            <w:r/>
            <w:r>
              <w:rPr>
                <w:sz w:val="19"/>
              </w:rPr>
              <w:t>None; note patent # discrepancy</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3</w:t>
            </w:r>
          </w:p>
        </w:tc>
        <w:tc>
          <w:tcPr>
            <w:tcW w:type="dxa" w:w="2304"/>
          </w:tcPr>
          <w:p>
            <w:r/>
            <w:r>
              <w:rPr>
                <w:sz w:val="19"/>
              </w:rPr>
              <w:t>Membrane R&amp;D since 2009</w:t>
            </w:r>
          </w:p>
        </w:tc>
        <w:tc>
          <w:tcPr>
            <w:tcW w:type="dxa" w:w="2592"/>
          </w:tcPr>
          <w:p>
            <w:r/>
            <w:r>
              <w:rPr>
                <w:sz w:val="19"/>
              </w:rPr>
              <w:t>Temporal overbreadth; independent-development tension</w:t>
            </w:r>
          </w:p>
        </w:tc>
        <w:tc>
          <w:tcPr>
            <w:tcW w:type="dxa" w:w="2808"/>
          </w:tcPr>
          <w:p>
            <w:r/>
            <w:r>
              <w:rPr>
                <w:sz w:val="19"/>
              </w:rPr>
              <w:t>2018–present + Background IP carve-out</w:t>
            </w:r>
          </w:p>
        </w:tc>
        <w:tc>
          <w:tcPr>
            <w:tcW w:type="dxa" w:w="1008"/>
            <w:shd w:val="clear" w:color="auto" w:fill="F4CCCC"/>
          </w:tcPr>
          <w:p>
            <w:r/>
            <w:r>
              <w:rPr>
                <w:sz w:val="19"/>
              </w:rPr>
              <w:t>High</w:t>
            </w:r>
          </w:p>
        </w:tc>
      </w:tr>
      <w:tr>
        <w:tc>
          <w:tcPr>
            <w:tcW w:type="dxa" w:w="648"/>
          </w:tcPr>
          <w:p>
            <w:r/>
            <w:r>
              <w:rPr>
                <w:sz w:val="19"/>
              </w:rPr>
              <w:t>4</w:t>
            </w:r>
          </w:p>
        </w:tc>
        <w:tc>
          <w:tcPr>
            <w:tcW w:type="dxa" w:w="2304"/>
          </w:tcPr>
          <w:p>
            <w:r/>
            <w:r>
              <w:rPr>
                <w:sz w:val="19"/>
              </w:rPr>
              <w:t>JV negotiation drafts/comms 2018–Jan. 2019</w:t>
            </w:r>
          </w:p>
        </w:tc>
        <w:tc>
          <w:tcPr>
            <w:tcW w:type="dxa" w:w="2592"/>
          </w:tcPr>
          <w:p>
            <w:r/>
            <w:r>
              <w:rPr>
                <w:sz w:val="19"/>
              </w:rPr>
              <w:t>Privileged internal drafts; integration clause (admissibility only)</w:t>
            </w:r>
          </w:p>
        </w:tc>
        <w:tc>
          <w:tcPr>
            <w:tcW w:type="dxa" w:w="2808"/>
          </w:tcPr>
          <w:p>
            <w:r/>
            <w:r>
              <w:rPr>
                <w:sz w:val="19"/>
              </w:rPr>
              <w:t>Produce exchanged drafts/comms; log internal counsel drafts</w:t>
            </w:r>
          </w:p>
        </w:tc>
        <w:tc>
          <w:tcPr>
            <w:tcW w:type="dxa" w:w="1008"/>
            <w:shd w:val="clear" w:color="auto" w:fill="E2EFD9"/>
          </w:tcPr>
          <w:p>
            <w:r/>
            <w:r>
              <w:rPr>
                <w:sz w:val="19"/>
              </w:rPr>
              <w:t>Low</w:t>
            </w:r>
          </w:p>
        </w:tc>
      </w:tr>
      <w:tr>
        <w:tc>
          <w:tcPr>
            <w:tcW w:type="dxa" w:w="648"/>
          </w:tcPr>
          <w:p>
            <w:r/>
            <w:r>
              <w:rPr>
                <w:sz w:val="19"/>
              </w:rPr>
              <w:t>5</w:t>
            </w:r>
          </w:p>
        </w:tc>
        <w:tc>
          <w:tcPr>
            <w:tcW w:type="dxa" w:w="2304"/>
          </w:tcPr>
          <w:p>
            <w:r/>
            <w:r>
              <w:rPr>
                <w:sz w:val="19"/>
              </w:rPr>
              <w:t>Strategic plans, filtration market, 2019–</w:t>
            </w:r>
          </w:p>
        </w:tc>
        <w:tc>
          <w:tcPr>
            <w:tcW w:type="dxa" w:w="2592"/>
          </w:tcPr>
          <w:p>
            <w:r/>
            <w:r>
              <w:rPr>
                <w:sz w:val="19"/>
              </w:rPr>
              <w:t>Subject-matter overbreadth; sensitivity</w:t>
            </w:r>
          </w:p>
        </w:tc>
        <w:tc>
          <w:tcPr>
            <w:tcW w:type="dxa" w:w="2808"/>
          </w:tcPr>
          <w:p>
            <w:r/>
            <w:r>
              <w:rPr>
                <w:sz w:val="19"/>
              </w:rPr>
              <w:t>Limit to JV/NanoSieve/membrane/PureLine; AEO</w:t>
            </w:r>
          </w:p>
        </w:tc>
        <w:tc>
          <w:tcPr>
            <w:tcW w:type="dxa" w:w="1008"/>
            <w:shd w:val="clear" w:color="auto" w:fill="FFF2CC"/>
          </w:tcPr>
          <w:p>
            <w:r/>
            <w:r>
              <w:rPr>
                <w:sz w:val="19"/>
              </w:rPr>
              <w:t>Medium</w:t>
            </w:r>
          </w:p>
        </w:tc>
      </w:tr>
      <w:tr>
        <w:tc>
          <w:tcPr>
            <w:tcW w:type="dxa" w:w="648"/>
          </w:tcPr>
          <w:p>
            <w:r/>
            <w:r>
              <w:rPr>
                <w:sz w:val="19"/>
              </w:rPr>
              <w:t>6</w:t>
            </w:r>
          </w:p>
        </w:tc>
        <w:tc>
          <w:tcPr>
            <w:tcW w:type="dxa" w:w="2304"/>
          </w:tcPr>
          <w:p>
            <w:r/>
            <w:r>
              <w:rPr>
                <w:sz w:val="19"/>
              </w:rPr>
              <w:t>Board minutes re JV/PureLine 2018–</w:t>
            </w:r>
          </w:p>
        </w:tc>
        <w:tc>
          <w:tcPr>
            <w:tcW w:type="dxa" w:w="2592"/>
          </w:tcPr>
          <w:p>
            <w:r/>
            <w:r>
              <w:rPr>
                <w:sz w:val="19"/>
              </w:rPr>
              <w:t>Privileged counsel presentations; unrelated items</w:t>
            </w:r>
          </w:p>
        </w:tc>
        <w:tc>
          <w:tcPr>
            <w:tcW w:type="dxa" w:w="2808"/>
          </w:tcPr>
          <w:p>
            <w:r/>
            <w:r>
              <w:rPr>
                <w:sz w:val="19"/>
              </w:rPr>
              <w:t>Produce with redactions for privilege/unrelated items</w:t>
            </w:r>
          </w:p>
        </w:tc>
        <w:tc>
          <w:tcPr>
            <w:tcW w:type="dxa" w:w="1008"/>
            <w:shd w:val="clear" w:color="auto" w:fill="FFF2CC"/>
          </w:tcPr>
          <w:p>
            <w:r/>
            <w:r>
              <w:rPr>
                <w:sz w:val="19"/>
              </w:rPr>
              <w:t>Medium</w:t>
            </w:r>
          </w:p>
        </w:tc>
      </w:tr>
      <w:tr>
        <w:tc>
          <w:tcPr>
            <w:tcW w:type="dxa" w:w="648"/>
          </w:tcPr>
          <w:p>
            <w:r/>
            <w:r>
              <w:rPr>
                <w:sz w:val="19"/>
              </w:rPr>
              <w:t>7</w:t>
            </w:r>
          </w:p>
        </w:tc>
        <w:tc>
          <w:tcPr>
            <w:tcW w:type="dxa" w:w="2304"/>
          </w:tcPr>
          <w:p>
            <w:r/>
            <w:r>
              <w:rPr>
                <w:sz w:val="19"/>
              </w:rPr>
              <w:t>Org charts, R&amp;D/Eng/Mfg/QA since 2009</w:t>
            </w:r>
          </w:p>
        </w:tc>
        <w:tc>
          <w:tcPr>
            <w:tcW w:type="dxa" w:w="2592"/>
          </w:tcPr>
          <w:p>
            <w:r/>
            <w:r>
              <w:rPr>
                <w:sz w:val="19"/>
              </w:rPr>
              <w:t>Temporal overbreadth; rosters</w:t>
            </w:r>
          </w:p>
        </w:tc>
        <w:tc>
          <w:tcPr>
            <w:tcW w:type="dxa" w:w="2808"/>
          </w:tcPr>
          <w:p>
            <w:r/>
            <w:r>
              <w:rPr>
                <w:sz w:val="19"/>
              </w:rPr>
              <w:t>Charts sufficient to show reporting lines, 2018–</w:t>
            </w:r>
          </w:p>
        </w:tc>
        <w:tc>
          <w:tcPr>
            <w:tcW w:type="dxa" w:w="1008"/>
            <w:shd w:val="clear" w:color="auto" w:fill="FFF2CC"/>
          </w:tcPr>
          <w:p>
            <w:r/>
            <w:r>
              <w:rPr>
                <w:sz w:val="19"/>
              </w:rPr>
              <w:t>Medium</w:t>
            </w:r>
          </w:p>
        </w:tc>
      </w:tr>
      <w:tr>
        <w:tc>
          <w:tcPr>
            <w:tcW w:type="dxa" w:w="648"/>
          </w:tcPr>
          <w:p>
            <w:r/>
            <w:r>
              <w:rPr>
                <w:sz w:val="19"/>
              </w:rPr>
              <w:t>8</w:t>
            </w:r>
          </w:p>
        </w:tc>
        <w:tc>
          <w:tcPr>
            <w:tcW w:type="dxa" w:w="2304"/>
          </w:tcPr>
          <w:p>
            <w:r/>
            <w:r>
              <w:rPr>
                <w:sz w:val="19"/>
              </w:rPr>
              <w:t>R&amp;D/commercialization, all filtration products</w:t>
            </w:r>
          </w:p>
        </w:tc>
        <w:tc>
          <w:tcPr>
            <w:tcW w:type="dxa" w:w="2592"/>
          </w:tcPr>
          <w:p>
            <w:r/>
            <w:r>
              <w:rPr>
                <w:sz w:val="19"/>
              </w:rPr>
              <w:t>All product lines</w:t>
            </w:r>
          </w:p>
        </w:tc>
        <w:tc>
          <w:tcPr>
            <w:tcW w:type="dxa" w:w="2808"/>
          </w:tcPr>
          <w:p>
            <w:r/>
            <w:r>
              <w:rPr>
                <w:sz w:val="19"/>
              </w:rPr>
              <w:t>PureLine 400 + other membrane products post-2019</w:t>
            </w:r>
          </w:p>
        </w:tc>
        <w:tc>
          <w:tcPr>
            <w:tcW w:type="dxa" w:w="1008"/>
            <w:shd w:val="clear" w:color="auto" w:fill="FFF2CC"/>
          </w:tcPr>
          <w:p>
            <w:r/>
            <w:r>
              <w:rPr>
                <w:sz w:val="19"/>
              </w:rPr>
              <w:t>Medium</w:t>
            </w:r>
          </w:p>
        </w:tc>
      </w:tr>
      <w:tr>
        <w:tc>
          <w:tcPr>
            <w:tcW w:type="dxa" w:w="648"/>
          </w:tcPr>
          <w:p>
            <w:r/>
            <w:r>
              <w:rPr>
                <w:sz w:val="19"/>
              </w:rPr>
              <w:t>9</w:t>
            </w:r>
          </w:p>
        </w:tc>
        <w:tc>
          <w:tcPr>
            <w:tcW w:type="dxa" w:w="2304"/>
          </w:tcPr>
          <w:p>
            <w:r/>
            <w:r>
              <w:rPr>
                <w:sz w:val="19"/>
              </w:rPr>
              <w:t>Full PureLine 400 technical package, unredacted</w:t>
            </w:r>
          </w:p>
        </w:tc>
        <w:tc>
          <w:tcPr>
            <w:tcW w:type="dxa" w:w="2592"/>
          </w:tcPr>
          <w:p>
            <w:r/>
            <w:r>
              <w:rPr>
                <w:sz w:val="19"/>
              </w:rPr>
              <w:t>Greenleaf trade secrets; Instr. 8</w:t>
            </w:r>
          </w:p>
        </w:tc>
        <w:tc>
          <w:tcPr>
            <w:tcW w:type="dxa" w:w="2808"/>
          </w:tcPr>
          <w:p>
            <w:r/>
            <w:r>
              <w:rPr>
                <w:sz w:val="19"/>
              </w:rPr>
              <w:t>Membrane-related components AEO; secure review; staged</w:t>
            </w:r>
          </w:p>
        </w:tc>
        <w:tc>
          <w:tcPr>
            <w:tcW w:type="dxa" w:w="1008"/>
            <w:shd w:val="clear" w:color="auto" w:fill="F4CCCC"/>
          </w:tcPr>
          <w:p>
            <w:r/>
            <w:r>
              <w:rPr>
                <w:sz w:val="19"/>
              </w:rPr>
              <w:t>High</w:t>
            </w:r>
          </w:p>
        </w:tc>
      </w:tr>
      <w:tr>
        <w:tc>
          <w:tcPr>
            <w:tcW w:type="dxa" w:w="648"/>
          </w:tcPr>
          <w:p>
            <w:r/>
            <w:r>
              <w:rPr>
                <w:sz w:val="19"/>
              </w:rPr>
              <w:t>10</w:t>
            </w:r>
          </w:p>
        </w:tc>
        <w:tc>
          <w:tcPr>
            <w:tcW w:type="dxa" w:w="2304"/>
          </w:tcPr>
          <w:p>
            <w:r/>
            <w:r>
              <w:rPr>
                <w:sz w:val="19"/>
              </w:rPr>
              <w:t>Party comms re JV operations</w:t>
            </w:r>
          </w:p>
        </w:tc>
        <w:tc>
          <w:tcPr>
            <w:tcW w:type="dxa" w:w="2592"/>
          </w:tcPr>
          <w:p>
            <w:r/>
            <w:r>
              <w:rPr>
                <w:sz w:val="19"/>
              </w:rPr>
              <w:t>None significant</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11</w:t>
            </w:r>
          </w:p>
        </w:tc>
        <w:tc>
          <w:tcPr>
            <w:tcW w:type="dxa" w:w="2304"/>
          </w:tcPr>
          <w:p>
            <w:r/>
            <w:r>
              <w:rPr>
                <w:sz w:val="19"/>
              </w:rPr>
              <w:t>Dissolution negotiation Jan.–June 2023</w:t>
            </w:r>
          </w:p>
        </w:tc>
        <w:tc>
          <w:tcPr>
            <w:tcW w:type="dxa" w:w="2592"/>
          </w:tcPr>
          <w:p>
            <w:r/>
            <w:r>
              <w:rPr>
                <w:sz w:val="19"/>
              </w:rPr>
              <w:t>Internal privileged advice</w:t>
            </w:r>
          </w:p>
        </w:tc>
        <w:tc>
          <w:tcPr>
            <w:tcW w:type="dxa" w:w="2808"/>
          </w:tcPr>
          <w:p>
            <w:r/>
            <w:r>
              <w:rPr>
                <w:sz w:val="19"/>
              </w:rPr>
              <w:t>Produce exchanged materials; log internal</w:t>
            </w:r>
          </w:p>
        </w:tc>
        <w:tc>
          <w:tcPr>
            <w:tcW w:type="dxa" w:w="1008"/>
            <w:shd w:val="clear" w:color="auto" w:fill="FFF2CC"/>
          </w:tcPr>
          <w:p>
            <w:r/>
            <w:r>
              <w:rPr>
                <w:sz w:val="19"/>
              </w:rPr>
              <w:t>Medium</w:t>
            </w:r>
          </w:p>
        </w:tc>
      </w:tr>
      <w:tr>
        <w:tc>
          <w:tcPr>
            <w:tcW w:type="dxa" w:w="648"/>
          </w:tcPr>
          <w:p>
            <w:r/>
            <w:r>
              <w:rPr>
                <w:sz w:val="19"/>
              </w:rPr>
              <w:t>12</w:t>
            </w:r>
          </w:p>
        </w:tc>
        <w:tc>
          <w:tcPr>
            <w:tcW w:type="dxa" w:w="2304"/>
          </w:tcPr>
          <w:p>
            <w:r/>
            <w:r>
              <w:rPr>
                <w:sz w:val="19"/>
              </w:rPr>
              <w:t>Marketing, all product lines</w:t>
            </w:r>
          </w:p>
        </w:tc>
        <w:tc>
          <w:tcPr>
            <w:tcW w:type="dxa" w:w="2592"/>
          </w:tcPr>
          <w:p>
            <w:r/>
            <w:r>
              <w:rPr>
                <w:sz w:val="19"/>
              </w:rPr>
              <w:t>All product lines</w:t>
            </w:r>
          </w:p>
        </w:tc>
        <w:tc>
          <w:tcPr>
            <w:tcW w:type="dxa" w:w="2808"/>
          </w:tcPr>
          <w:p>
            <w:r/>
            <w:r>
              <w:rPr>
                <w:sz w:val="19"/>
              </w:rPr>
              <w:t>PureLine 400 + membrane products</w:t>
            </w:r>
          </w:p>
        </w:tc>
        <w:tc>
          <w:tcPr>
            <w:tcW w:type="dxa" w:w="1008"/>
            <w:shd w:val="clear" w:color="auto" w:fill="FFF2CC"/>
          </w:tcPr>
          <w:p>
            <w:r/>
            <w:r>
              <w:rPr>
                <w:sz w:val="19"/>
              </w:rPr>
              <w:t>Medium</w:t>
            </w:r>
          </w:p>
        </w:tc>
      </w:tr>
      <w:tr>
        <w:tc>
          <w:tcPr>
            <w:tcW w:type="dxa" w:w="648"/>
          </w:tcPr>
          <w:p>
            <w:r/>
            <w:r>
              <w:rPr>
                <w:sz w:val="19"/>
              </w:rPr>
              <w:t>13</w:t>
            </w:r>
          </w:p>
        </w:tc>
        <w:tc>
          <w:tcPr>
            <w:tcW w:type="dxa" w:w="2304"/>
          </w:tcPr>
          <w:p>
            <w:r/>
            <w:r>
              <w:rPr>
                <w:sz w:val="19"/>
              </w:rPr>
              <w:t>Asset allocation / valuations</w:t>
            </w:r>
          </w:p>
        </w:tc>
        <w:tc>
          <w:tcPr>
            <w:tcW w:type="dxa" w:w="2592"/>
          </w:tcPr>
          <w:p>
            <w:r/>
            <w:r>
              <w:rPr>
                <w:sz w:val="19"/>
              </w:rPr>
              <w:t>Privileged internal analyses</w:t>
            </w:r>
          </w:p>
        </w:tc>
        <w:tc>
          <w:tcPr>
            <w:tcW w:type="dxa" w:w="2808"/>
          </w:tcPr>
          <w:p>
            <w:r/>
            <w:r>
              <w:rPr>
                <w:sz w:val="19"/>
              </w:rPr>
              <w:t>Produce non-privileged; log</w:t>
            </w:r>
          </w:p>
        </w:tc>
        <w:tc>
          <w:tcPr>
            <w:tcW w:type="dxa" w:w="1008"/>
            <w:shd w:val="clear" w:color="auto" w:fill="E2EFD9"/>
          </w:tcPr>
          <w:p>
            <w:r/>
            <w:r>
              <w:rPr>
                <w:sz w:val="19"/>
              </w:rPr>
              <w:t>Low</w:t>
            </w:r>
          </w:p>
        </w:tc>
      </w:tr>
      <w:tr>
        <w:tc>
          <w:tcPr>
            <w:tcW w:type="dxa" w:w="648"/>
          </w:tcPr>
          <w:p>
            <w:r/>
            <w:r>
              <w:rPr>
                <w:sz w:val="19"/>
              </w:rPr>
              <w:t>14</w:t>
            </w:r>
          </w:p>
        </w:tc>
        <w:tc>
          <w:tcPr>
            <w:tcW w:type="dxa" w:w="2304"/>
          </w:tcPr>
          <w:p>
            <w:r/>
            <w:r>
              <w:rPr>
                <w:sz w:val="19"/>
              </w:rPr>
              <w:t>Entire IP portfolio since 2009</w:t>
            </w:r>
          </w:p>
        </w:tc>
        <w:tc>
          <w:tcPr>
            <w:tcW w:type="dxa" w:w="2592"/>
          </w:tcPr>
          <w:p>
            <w:r/>
            <w:r>
              <w:rPr>
                <w:sz w:val="19"/>
              </w:rPr>
              <w:t>Temporal &amp; subject overbreadth; FTO privilege</w:t>
            </w:r>
          </w:p>
        </w:tc>
        <w:tc>
          <w:tcPr>
            <w:tcW w:type="dxa" w:w="2808"/>
          </w:tcPr>
          <w:p>
            <w:r/>
            <w:r>
              <w:rPr>
                <w:sz w:val="19"/>
              </w:rPr>
              <w:t>Filtration/membrane IP 2018– + Ex. C Background IP; log FTO</w:t>
            </w:r>
          </w:p>
        </w:tc>
        <w:tc>
          <w:tcPr>
            <w:tcW w:type="dxa" w:w="1008"/>
            <w:shd w:val="clear" w:color="auto" w:fill="F4CCCC"/>
          </w:tcPr>
          <w:p>
            <w:r/>
            <w:r>
              <w:rPr>
                <w:sz w:val="19"/>
              </w:rPr>
              <w:t>High</w:t>
            </w:r>
          </w:p>
        </w:tc>
      </w:tr>
      <w:tr>
        <w:tc>
          <w:tcPr>
            <w:tcW w:type="dxa" w:w="648"/>
          </w:tcPr>
          <w:p>
            <w:r/>
            <w:r>
              <w:rPr>
                <w:sz w:val="19"/>
              </w:rPr>
              <w:t>15</w:t>
            </w:r>
          </w:p>
        </w:tc>
        <w:tc>
          <w:tcPr>
            <w:tcW w:type="dxa" w:w="2304"/>
          </w:tcPr>
          <w:p>
            <w:r/>
            <w:r>
              <w:rPr>
                <w:sz w:val="19"/>
              </w:rPr>
              <w:t>Membrane development docs incl. agents/consultants</w:t>
            </w:r>
          </w:p>
        </w:tc>
        <w:tc>
          <w:tcPr>
            <w:tcW w:type="dxa" w:w="2592"/>
          </w:tcPr>
          <w:p>
            <w:r/>
            <w:r>
              <w:rPr>
                <w:sz w:val="19"/>
              </w:rPr>
              <w:t>Third-party control</w:t>
            </w:r>
          </w:p>
        </w:tc>
        <w:tc>
          <w:tcPr>
            <w:tcW w:type="dxa" w:w="2808"/>
          </w:tcPr>
          <w:p>
            <w:r/>
            <w:r>
              <w:rPr>
                <w:sz w:val="19"/>
              </w:rPr>
              <w:t>Greenleaf-controlled incl. consultant deliverables</w:t>
            </w:r>
          </w:p>
        </w:tc>
        <w:tc>
          <w:tcPr>
            <w:tcW w:type="dxa" w:w="1008"/>
            <w:shd w:val="clear" w:color="auto" w:fill="FFF2CC"/>
          </w:tcPr>
          <w:p>
            <w:r/>
            <w:r>
              <w:rPr>
                <w:sz w:val="19"/>
              </w:rPr>
              <w:t>Medium</w:t>
            </w:r>
          </w:p>
        </w:tc>
      </w:tr>
      <w:tr>
        <w:tc>
          <w:tcPr>
            <w:tcW w:type="dxa" w:w="648"/>
          </w:tcPr>
          <w:p>
            <w:r/>
            <w:r>
              <w:rPr>
                <w:sz w:val="19"/>
              </w:rPr>
              <w:t>16</w:t>
            </w:r>
          </w:p>
        </w:tc>
        <w:tc>
          <w:tcPr>
            <w:tcW w:type="dxa" w:w="2304"/>
          </w:tcPr>
          <w:p>
            <w:r/>
            <w:r>
              <w:rPr>
                <w:sz w:val="19"/>
              </w:rPr>
              <w:t>All membrane technology docs from any source 2017–</w:t>
            </w:r>
          </w:p>
        </w:tc>
        <w:tc>
          <w:tcPr>
            <w:tcW w:type="dxa" w:w="2592"/>
          </w:tcPr>
          <w:p>
            <w:r/>
            <w:r>
              <w:rPr>
                <w:sz w:val="19"/>
              </w:rPr>
              <w:t>Overbroad; public literature</w:t>
            </w:r>
          </w:p>
        </w:tc>
        <w:tc>
          <w:tcPr>
            <w:tcW w:type="dxa" w:w="2808"/>
          </w:tcPr>
          <w:p>
            <w:r/>
            <w:r>
              <w:rPr>
                <w:sz w:val="19"/>
              </w:rPr>
              <w:t>Greenleaf-authored analyses/materials used in PureLine 400</w:t>
            </w:r>
          </w:p>
        </w:tc>
        <w:tc>
          <w:tcPr>
            <w:tcW w:type="dxa" w:w="1008"/>
            <w:shd w:val="clear" w:color="auto" w:fill="FFF2CC"/>
          </w:tcPr>
          <w:p>
            <w:r/>
            <w:r>
              <w:rPr>
                <w:sz w:val="19"/>
              </w:rPr>
              <w:t>Medium</w:t>
            </w:r>
          </w:p>
        </w:tc>
      </w:tr>
      <w:tr>
        <w:tc>
          <w:tcPr>
            <w:tcW w:type="dxa" w:w="648"/>
          </w:tcPr>
          <w:p>
            <w:r/>
            <w:r>
              <w:rPr>
                <w:sz w:val="19"/>
              </w:rPr>
              <w:t>17</w:t>
            </w:r>
          </w:p>
        </w:tc>
        <w:tc>
          <w:tcPr>
            <w:tcW w:type="dxa" w:w="2304"/>
          </w:tcPr>
          <w:p>
            <w:r/>
            <w:r>
              <w:rPr>
                <w:sz w:val="19"/>
              </w:rPr>
              <w:t>Roles/assignments of 23 engineers</w:t>
            </w:r>
          </w:p>
        </w:tc>
        <w:tc>
          <w:tcPr>
            <w:tcW w:type="dxa" w:w="2592"/>
          </w:tcPr>
          <w:p>
            <w:r/>
            <w:r>
              <w:rPr>
                <w:sz w:val="19"/>
              </w:rPr>
              <w:t>Caspian's 9 not in Greenleaf personnel control</w:t>
            </w:r>
          </w:p>
        </w:tc>
        <w:tc>
          <w:tcPr>
            <w:tcW w:type="dxa" w:w="2808"/>
          </w:tcPr>
          <w:p>
            <w:r/>
            <w:r>
              <w:rPr>
                <w:sz w:val="19"/>
              </w:rPr>
              <w:t>Produce staffing, time allocation, secondment records</w:t>
            </w:r>
          </w:p>
        </w:tc>
        <w:tc>
          <w:tcPr>
            <w:tcW w:type="dxa" w:w="1008"/>
            <w:shd w:val="clear" w:color="auto" w:fill="E2EFD9"/>
          </w:tcPr>
          <w:p>
            <w:r/>
            <w:r>
              <w:rPr>
                <w:sz w:val="19"/>
              </w:rPr>
              <w:t>Low</w:t>
            </w:r>
          </w:p>
        </w:tc>
      </w:tr>
      <w:tr>
        <w:tc>
          <w:tcPr>
            <w:tcW w:type="dxa" w:w="648"/>
          </w:tcPr>
          <w:p>
            <w:r/>
            <w:r>
              <w:rPr>
                <w:sz w:val="19"/>
              </w:rPr>
              <w:t>18</w:t>
            </w:r>
          </w:p>
        </w:tc>
        <w:tc>
          <w:tcPr>
            <w:tcW w:type="dxa" w:w="2304"/>
          </w:tcPr>
          <w:p>
            <w:r/>
            <w:r>
              <w:rPr>
                <w:sz w:val="19"/>
              </w:rPr>
              <w:t>JV financials</w:t>
            </w:r>
          </w:p>
        </w:tc>
        <w:tc>
          <w:tcPr>
            <w:tcW w:type="dxa" w:w="2592"/>
          </w:tcPr>
          <w:p>
            <w:r/>
            <w:r>
              <w:rPr>
                <w:sz w:val="19"/>
              </w:rPr>
              <w:t>None significant</w:t>
            </w:r>
          </w:p>
        </w:tc>
        <w:tc>
          <w:tcPr>
            <w:tcW w:type="dxa" w:w="2808"/>
          </w:tcPr>
          <w:p>
            <w:r/>
            <w:r>
              <w:rPr>
                <w:sz w:val="19"/>
              </w:rPr>
              <w:t>Produce (Confidential)</w:t>
            </w:r>
          </w:p>
        </w:tc>
        <w:tc>
          <w:tcPr>
            <w:tcW w:type="dxa" w:w="1008"/>
            <w:shd w:val="clear" w:color="auto" w:fill="E2EFD9"/>
          </w:tcPr>
          <w:p>
            <w:r/>
            <w:r>
              <w:rPr>
                <w:sz w:val="19"/>
              </w:rPr>
              <w:t>Low</w:t>
            </w:r>
          </w:p>
        </w:tc>
      </w:tr>
      <w:tr>
        <w:tc>
          <w:tcPr>
            <w:tcW w:type="dxa" w:w="648"/>
          </w:tcPr>
          <w:p>
            <w:r/>
            <w:r>
              <w:rPr>
                <w:sz w:val="19"/>
              </w:rPr>
              <w:t>19</w:t>
            </w:r>
          </w:p>
        </w:tc>
        <w:tc>
          <w:tcPr>
            <w:tcW w:type="dxa" w:w="2304"/>
          </w:tcPr>
          <w:p>
            <w:r/>
            <w:r>
              <w:rPr>
                <w:sz w:val="19"/>
              </w:rPr>
              <w:t>Financing, lender comms 2020–</w:t>
            </w:r>
          </w:p>
        </w:tc>
        <w:tc>
          <w:tcPr>
            <w:tcW w:type="dxa" w:w="2592"/>
          </w:tcPr>
          <w:p>
            <w:r/>
            <w:r>
              <w:rPr>
                <w:sz w:val="19"/>
              </w:rPr>
              <w:t>Relevance; lender confidentiality (unverified § 10.08)</w:t>
            </w:r>
          </w:p>
        </w:tc>
        <w:tc>
          <w:tcPr>
            <w:tcW w:type="dxa" w:w="2808"/>
          </w:tcPr>
          <w:p>
            <w:r/>
            <w:r>
              <w:rPr>
                <w:sz w:val="19"/>
              </w:rPr>
              <w:t>Object/withhold; fallback: PureLine/JV-specific lender comms AEO</w:t>
            </w:r>
          </w:p>
        </w:tc>
        <w:tc>
          <w:tcPr>
            <w:tcW w:type="dxa" w:w="1008"/>
            <w:shd w:val="clear" w:color="auto" w:fill="F4CCCC"/>
          </w:tcPr>
          <w:p>
            <w:r/>
            <w:r>
              <w:rPr>
                <w:sz w:val="19"/>
              </w:rPr>
              <w:t>High</w:t>
            </w:r>
          </w:p>
        </w:tc>
      </w:tr>
      <w:tr>
        <w:tc>
          <w:tcPr>
            <w:tcW w:type="dxa" w:w="648"/>
          </w:tcPr>
          <w:p>
            <w:r/>
            <w:r>
              <w:rPr>
                <w:sz w:val="19"/>
              </w:rPr>
              <w:t>20</w:t>
            </w:r>
          </w:p>
        </w:tc>
        <w:tc>
          <w:tcPr>
            <w:tcW w:type="dxa" w:w="2304"/>
          </w:tcPr>
          <w:p>
            <w:r/>
            <w:r>
              <w:rPr>
                <w:sz w:val="19"/>
              </w:rPr>
              <w:t>Capital contributions</w:t>
            </w:r>
          </w:p>
        </w:tc>
        <w:tc>
          <w:tcPr>
            <w:tcW w:type="dxa" w:w="2592"/>
          </w:tcPr>
          <w:p>
            <w:r/>
            <w:r>
              <w:rPr>
                <w:sz w:val="19"/>
              </w:rPr>
              <w:t>None</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21</w:t>
            </w:r>
          </w:p>
        </w:tc>
        <w:tc>
          <w:tcPr>
            <w:tcW w:type="dxa" w:w="2304"/>
          </w:tcPr>
          <w:p>
            <w:r/>
            <w:r>
              <w:rPr>
                <w:sz w:val="19"/>
              </w:rPr>
              <w:t>Holt–Subramaniam comms</w:t>
            </w:r>
          </w:p>
        </w:tc>
        <w:tc>
          <w:tcPr>
            <w:tcW w:type="dxa" w:w="2592"/>
          </w:tcPr>
          <w:p>
            <w:r/>
            <w:r>
              <w:rPr>
                <w:sz w:val="19"/>
              </w:rPr>
              <w:t>Privilege screen only</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22</w:t>
            </w:r>
          </w:p>
        </w:tc>
        <w:tc>
          <w:tcPr>
            <w:tcW w:type="dxa" w:w="2304"/>
          </w:tcPr>
          <w:p>
            <w:r/>
            <w:r>
              <w:rPr>
                <w:sz w:val="19"/>
              </w:rPr>
              <w:t>Business plans/forecasts since 2009</w:t>
            </w:r>
          </w:p>
        </w:tc>
        <w:tc>
          <w:tcPr>
            <w:tcW w:type="dxa" w:w="2592"/>
          </w:tcPr>
          <w:p>
            <w:r/>
            <w:r>
              <w:rPr>
                <w:sz w:val="19"/>
              </w:rPr>
              <w:t>Temporal &amp; subject overbreadth</w:t>
            </w:r>
          </w:p>
        </w:tc>
        <w:tc>
          <w:tcPr>
            <w:tcW w:type="dxa" w:w="2808"/>
          </w:tcPr>
          <w:p>
            <w:r/>
            <w:r>
              <w:rPr>
                <w:sz w:val="19"/>
              </w:rPr>
              <w:t>PureLine 400/JV forecasts 2018–</w:t>
            </w:r>
          </w:p>
        </w:tc>
        <w:tc>
          <w:tcPr>
            <w:tcW w:type="dxa" w:w="1008"/>
            <w:shd w:val="clear" w:color="auto" w:fill="F4CCCC"/>
          </w:tcPr>
          <w:p>
            <w:r/>
            <w:r>
              <w:rPr>
                <w:sz w:val="19"/>
              </w:rPr>
              <w:t>High</w:t>
            </w:r>
          </w:p>
        </w:tc>
      </w:tr>
      <w:tr>
        <w:tc>
          <w:tcPr>
            <w:tcW w:type="dxa" w:w="648"/>
          </w:tcPr>
          <w:p>
            <w:r/>
            <w:r>
              <w:rPr>
                <w:sz w:val="19"/>
              </w:rPr>
              <w:t>23</w:t>
            </w:r>
          </w:p>
        </w:tc>
        <w:tc>
          <w:tcPr>
            <w:tcW w:type="dxa" w:w="2304"/>
          </w:tcPr>
          <w:p>
            <w:r/>
            <w:r>
              <w:rPr>
                <w:sz w:val="19"/>
              </w:rPr>
              <w:t>Wind-down data segregation</w:t>
            </w:r>
          </w:p>
        </w:tc>
        <w:tc>
          <w:tcPr>
            <w:tcW w:type="dxa" w:w="2592"/>
          </w:tcPr>
          <w:p>
            <w:r/>
            <w:r>
              <w:rPr>
                <w:sz w:val="19"/>
              </w:rPr>
              <w:t>None</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24</w:t>
            </w:r>
          </w:p>
        </w:tc>
        <w:tc>
          <w:tcPr>
            <w:tcW w:type="dxa" w:w="2304"/>
          </w:tcPr>
          <w:p>
            <w:r/>
            <w:r>
              <w:rPr>
                <w:sz w:val="19"/>
              </w:rPr>
              <w:t>NanoSieve comparisons/reverse engineering</w:t>
            </w:r>
          </w:p>
        </w:tc>
        <w:tc>
          <w:tcPr>
            <w:tcW w:type="dxa" w:w="2592"/>
          </w:tcPr>
          <w:p>
            <w:r/>
            <w:r>
              <w:rPr>
                <w:sz w:val="19"/>
              </w:rPr>
              <w:t>Undefined trade secrets; privileged claim mapping</w:t>
            </w:r>
          </w:p>
        </w:tc>
        <w:tc>
          <w:tcPr>
            <w:tcW w:type="dxa" w:w="2808"/>
          </w:tcPr>
          <w:p>
            <w:r/>
            <w:r>
              <w:rPr>
                <w:sz w:val="19"/>
              </w:rPr>
              <w:t>Produce engineering comparisons; log counsel work; seek TS identification</w:t>
            </w:r>
          </w:p>
        </w:tc>
        <w:tc>
          <w:tcPr>
            <w:tcW w:type="dxa" w:w="1008"/>
            <w:shd w:val="clear" w:color="auto" w:fill="F4CCCC"/>
          </w:tcPr>
          <w:p>
            <w:r/>
            <w:r>
              <w:rPr>
                <w:sz w:val="19"/>
              </w:rPr>
              <w:t>High</w:t>
            </w:r>
          </w:p>
        </w:tc>
      </w:tr>
      <w:tr>
        <w:tc>
          <w:tcPr>
            <w:tcW w:type="dxa" w:w="648"/>
          </w:tcPr>
          <w:p>
            <w:r/>
            <w:r>
              <w:rPr>
                <w:sz w:val="19"/>
              </w:rPr>
              <w:t>25</w:t>
            </w:r>
          </w:p>
        </w:tc>
        <w:tc>
          <w:tcPr>
            <w:tcW w:type="dxa" w:w="2304"/>
          </w:tcPr>
          <w:p>
            <w:r/>
            <w:r>
              <w:rPr>
                <w:sz w:val="19"/>
              </w:rPr>
              <w:t>PureLine 400 initiation/approval (Apr. 3, 2023)</w:t>
            </w:r>
          </w:p>
        </w:tc>
        <w:tc>
          <w:tcPr>
            <w:tcW w:type="dxa" w:w="2592"/>
          </w:tcPr>
          <w:p>
            <w:r/>
            <w:r>
              <w:rPr>
                <w:sz w:val="19"/>
              </w:rPr>
              <w:t>Core; sensitive timing</w:t>
            </w:r>
          </w:p>
        </w:tc>
        <w:tc>
          <w:tcPr>
            <w:tcW w:type="dxa" w:w="2808"/>
          </w:tcPr>
          <w:p>
            <w:r/>
            <w:r>
              <w:rPr>
                <w:sz w:val="19"/>
              </w:rPr>
              <w:t>Produce (AEO where appropriate)</w:t>
            </w:r>
          </w:p>
        </w:tc>
        <w:tc>
          <w:tcPr>
            <w:tcW w:type="dxa" w:w="1008"/>
            <w:shd w:val="clear" w:color="auto" w:fill="FFF2CC"/>
          </w:tcPr>
          <w:p>
            <w:r/>
            <w:r>
              <w:rPr>
                <w:sz w:val="19"/>
              </w:rPr>
              <w:t>Medium</w:t>
            </w:r>
          </w:p>
        </w:tc>
      </w:tr>
      <w:tr>
        <w:tc>
          <w:tcPr>
            <w:tcW w:type="dxa" w:w="648"/>
          </w:tcPr>
          <w:p>
            <w:r/>
            <w:r>
              <w:rPr>
                <w:sz w:val="19"/>
              </w:rPr>
              <w:t>26</w:t>
            </w:r>
          </w:p>
        </w:tc>
        <w:tc>
          <w:tcPr>
            <w:tcW w:type="dxa" w:w="2304"/>
          </w:tcPr>
          <w:p>
            <w:r/>
            <w:r>
              <w:rPr>
                <w:sz w:val="19"/>
              </w:rPr>
              <w:t>Ostrowski employment/departure</w:t>
            </w:r>
          </w:p>
        </w:tc>
        <w:tc>
          <w:tcPr>
            <w:tcW w:type="dxa" w:w="2592"/>
          </w:tcPr>
          <w:p>
            <w:r/>
            <w:r>
              <w:rPr>
                <w:sz w:val="19"/>
              </w:rPr>
              <w:t>Personnel privacy (limited)</w:t>
            </w:r>
          </w:p>
        </w:tc>
        <w:tc>
          <w:tcPr>
            <w:tcW w:type="dxa" w:w="2808"/>
          </w:tcPr>
          <w:p>
            <w:r/>
            <w:r>
              <w:rPr>
                <w:sz w:val="19"/>
              </w:rPr>
              <w:t>Produce agreements, separation, exit records</w:t>
            </w:r>
          </w:p>
        </w:tc>
        <w:tc>
          <w:tcPr>
            <w:tcW w:type="dxa" w:w="1008"/>
            <w:shd w:val="clear" w:color="auto" w:fill="E2EFD9"/>
          </w:tcPr>
          <w:p>
            <w:r/>
            <w:r>
              <w:rPr>
                <w:sz w:val="19"/>
              </w:rPr>
              <w:t>Low</w:t>
            </w:r>
          </w:p>
        </w:tc>
      </w:tr>
      <w:tr>
        <w:tc>
          <w:tcPr>
            <w:tcW w:type="dxa" w:w="648"/>
          </w:tcPr>
          <w:p>
            <w:r/>
            <w:r>
              <w:rPr>
                <w:sz w:val="19"/>
              </w:rPr>
              <w:t>27</w:t>
            </w:r>
          </w:p>
        </w:tc>
        <w:tc>
          <w:tcPr>
            <w:tcW w:type="dxa" w:w="2304"/>
          </w:tcPr>
          <w:p>
            <w:r/>
            <w:r>
              <w:rPr>
                <w:sz w:val="19"/>
              </w:rPr>
              <w:t>Revenue/margins by product line, all lines</w:t>
            </w:r>
          </w:p>
        </w:tc>
        <w:tc>
          <w:tcPr>
            <w:tcW w:type="dxa" w:w="2592"/>
          </w:tcPr>
          <w:p>
            <w:r/>
            <w:r>
              <w:rPr>
                <w:sz w:val="19"/>
              </w:rPr>
              <w:t>All product lines</w:t>
            </w:r>
          </w:p>
        </w:tc>
        <w:tc>
          <w:tcPr>
            <w:tcW w:type="dxa" w:w="2808"/>
          </w:tcPr>
          <w:p>
            <w:r/>
            <w:r>
              <w:rPr>
                <w:sz w:val="19"/>
              </w:rPr>
              <w:t>PureLine 400 financials AEO</w:t>
            </w:r>
          </w:p>
        </w:tc>
        <w:tc>
          <w:tcPr>
            <w:tcW w:type="dxa" w:w="1008"/>
            <w:shd w:val="clear" w:color="auto" w:fill="FFF2CC"/>
          </w:tcPr>
          <w:p>
            <w:r/>
            <w:r>
              <w:rPr>
                <w:sz w:val="19"/>
              </w:rPr>
              <w:t>Medium</w:t>
            </w:r>
          </w:p>
        </w:tc>
      </w:tr>
      <w:tr>
        <w:tc>
          <w:tcPr>
            <w:tcW w:type="dxa" w:w="648"/>
          </w:tcPr>
          <w:p>
            <w:r/>
            <w:r>
              <w:rPr>
                <w:sz w:val="19"/>
              </w:rPr>
              <w:t>28</w:t>
            </w:r>
          </w:p>
        </w:tc>
        <w:tc>
          <w:tcPr>
            <w:tcW w:type="dxa" w:w="2304"/>
          </w:tcPr>
          <w:p>
            <w:r/>
            <w:r>
              <w:rPr>
                <w:sz w:val="19"/>
              </w:rPr>
              <w:t>Comms with any competitor</w:t>
            </w:r>
          </w:p>
        </w:tc>
        <w:tc>
          <w:tcPr>
            <w:tcW w:type="dxa" w:w="2592"/>
          </w:tcPr>
          <w:p>
            <w:r/>
            <w:r>
              <w:rPr>
                <w:sz w:val="19"/>
              </w:rPr>
              <w:t>Overbroad; but Helix central to counterclaim</w:t>
            </w:r>
          </w:p>
        </w:tc>
        <w:tc>
          <w:tcPr>
            <w:tcW w:type="dxa" w:w="2808"/>
          </w:tcPr>
          <w:p>
            <w:r/>
            <w:r>
              <w:rPr>
                <w:sz w:val="19"/>
              </w:rPr>
              <w:t>Subject-limited production incl. all relevant Helix comms</w:t>
            </w:r>
          </w:p>
        </w:tc>
        <w:tc>
          <w:tcPr>
            <w:tcW w:type="dxa" w:w="1008"/>
            <w:shd w:val="clear" w:color="auto" w:fill="FFF2CC"/>
          </w:tcPr>
          <w:p>
            <w:r/>
            <w:r>
              <w:rPr>
                <w:sz w:val="19"/>
              </w:rPr>
              <w:t>Medium</w:t>
            </w:r>
          </w:p>
        </w:tc>
      </w:tr>
      <w:tr>
        <w:tc>
          <w:tcPr>
            <w:tcW w:type="dxa" w:w="648"/>
          </w:tcPr>
          <w:p>
            <w:r/>
            <w:r>
              <w:rPr>
                <w:sz w:val="19"/>
              </w:rPr>
              <w:t>29</w:t>
            </w:r>
          </w:p>
        </w:tc>
        <w:tc>
          <w:tcPr>
            <w:tcW w:type="dxa" w:w="2304"/>
          </w:tcPr>
          <w:p>
            <w:r/>
            <w:r>
              <w:rPr>
                <w:sz w:val="19"/>
              </w:rPr>
              <w:t>Third-party licensing of Joint IP</w:t>
            </w:r>
          </w:p>
        </w:tc>
        <w:tc>
          <w:tcPr>
            <w:tcW w:type="dxa" w:w="2592"/>
          </w:tcPr>
          <w:p>
            <w:r/>
            <w:r>
              <w:rPr>
                <w:sz w:val="19"/>
              </w:rPr>
              <w:t>None</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30</w:t>
            </w:r>
          </w:p>
        </w:tc>
        <w:tc>
          <w:tcPr>
            <w:tcW w:type="dxa" w:w="2304"/>
          </w:tcPr>
          <w:p>
            <w:r/>
            <w:r>
              <w:rPr>
                <w:sz w:val="19"/>
              </w:rPr>
              <w:t>Post-dissolution party comms</w:t>
            </w:r>
          </w:p>
        </w:tc>
        <w:tc>
          <w:tcPr>
            <w:tcW w:type="dxa" w:w="2592"/>
          </w:tcPr>
          <w:p>
            <w:r/>
            <w:r>
              <w:rPr>
                <w:sz w:val="19"/>
              </w:rPr>
              <w:t>Settlement comms (discoverable; FRE 408 admissibility)</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31</w:t>
            </w:r>
          </w:p>
        </w:tc>
        <w:tc>
          <w:tcPr>
            <w:tcW w:type="dxa" w:w="2304"/>
          </w:tcPr>
          <w:p>
            <w:r/>
            <w:r>
              <w:rPr>
                <w:sz w:val="19"/>
              </w:rPr>
              <w:t>All comms with counsel</w:t>
            </w:r>
          </w:p>
        </w:tc>
        <w:tc>
          <w:tcPr>
            <w:tcW w:type="dxa" w:w="2592"/>
          </w:tcPr>
          <w:p>
            <w:r/>
            <w:r>
              <w:rPr>
                <w:sz w:val="19"/>
              </w:rPr>
              <w:t>Attorney-client / work product</w:t>
            </w:r>
          </w:p>
        </w:tc>
        <w:tc>
          <w:tcPr>
            <w:tcW w:type="dxa" w:w="2808"/>
          </w:tcPr>
          <w:p>
            <w:r/>
            <w:r>
              <w:rPr>
                <w:sz w:val="19"/>
              </w:rPr>
              <w:t>Object/withhold; categorical log; post-complaint carve-out; 502(d)</w:t>
            </w:r>
          </w:p>
        </w:tc>
        <w:tc>
          <w:tcPr>
            <w:tcW w:type="dxa" w:w="1008"/>
            <w:shd w:val="clear" w:color="auto" w:fill="F4CCCC"/>
          </w:tcPr>
          <w:p>
            <w:r/>
            <w:r>
              <w:rPr>
                <w:sz w:val="19"/>
              </w:rPr>
              <w:t>High</w:t>
            </w:r>
          </w:p>
        </w:tc>
      </w:tr>
      <w:tr>
        <w:tc>
          <w:tcPr>
            <w:tcW w:type="dxa" w:w="648"/>
          </w:tcPr>
          <w:p>
            <w:r/>
            <w:r>
              <w:rPr>
                <w:sz w:val="19"/>
              </w:rPr>
              <w:t>32</w:t>
            </w:r>
          </w:p>
        </w:tc>
        <w:tc>
          <w:tcPr>
            <w:tcW w:type="dxa" w:w="2304"/>
          </w:tcPr>
          <w:p>
            <w:r/>
            <w:r>
              <w:rPr>
                <w:sz w:val="19"/>
              </w:rPr>
              <w:t>Training re Caspian info</w:t>
            </w:r>
          </w:p>
        </w:tc>
        <w:tc>
          <w:tcPr>
            <w:tcW w:type="dxa" w:w="2592"/>
          </w:tcPr>
          <w:p>
            <w:r/>
            <w:r>
              <w:rPr>
                <w:sz w:val="19"/>
              </w:rPr>
              <w:t>None</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33</w:t>
            </w:r>
          </w:p>
        </w:tc>
        <w:tc>
          <w:tcPr>
            <w:tcW w:type="dxa" w:w="2304"/>
          </w:tcPr>
          <w:p>
            <w:r/>
            <w:r>
              <w:rPr>
                <w:sz w:val="19"/>
              </w:rPr>
              <w:t>Complete personnel files</w:t>
            </w:r>
          </w:p>
        </w:tc>
        <w:tc>
          <w:tcPr>
            <w:tcW w:type="dxa" w:w="2592"/>
          </w:tcPr>
          <w:p>
            <w:r/>
            <w:r>
              <w:rPr>
                <w:sz w:val="19"/>
              </w:rPr>
              <w:t>Privacy; relevance; Caspian files not held</w:t>
            </w:r>
          </w:p>
        </w:tc>
        <w:tc>
          <w:tcPr>
            <w:tcW w:type="dxa" w:w="2808"/>
          </w:tcPr>
          <w:p>
            <w:r/>
            <w:r>
              <w:rPr>
                <w:sz w:val="19"/>
              </w:rPr>
              <w:t>Narrowing framework; withhold comp/benefits/discipline</w:t>
            </w:r>
          </w:p>
        </w:tc>
        <w:tc>
          <w:tcPr>
            <w:tcW w:type="dxa" w:w="1008"/>
            <w:shd w:val="clear" w:color="auto" w:fill="F4CCCC"/>
          </w:tcPr>
          <w:p>
            <w:r/>
            <w:r>
              <w:rPr>
                <w:sz w:val="19"/>
              </w:rPr>
              <w:t>High</w:t>
            </w:r>
          </w:p>
        </w:tc>
      </w:tr>
      <w:tr>
        <w:tc>
          <w:tcPr>
            <w:tcW w:type="dxa" w:w="648"/>
          </w:tcPr>
          <w:p>
            <w:r/>
            <w:r>
              <w:rPr>
                <w:sz w:val="19"/>
              </w:rPr>
              <w:t>34</w:t>
            </w:r>
          </w:p>
        </w:tc>
        <w:tc>
          <w:tcPr>
            <w:tcW w:type="dxa" w:w="2304"/>
          </w:tcPr>
          <w:p>
            <w:r/>
            <w:r>
              <w:rPr>
                <w:sz w:val="19"/>
              </w:rPr>
              <w:t>NDAs/restrictive covenants</w:t>
            </w:r>
          </w:p>
        </w:tc>
        <w:tc>
          <w:tcPr>
            <w:tcW w:type="dxa" w:w="2592"/>
          </w:tcPr>
          <w:p>
            <w:r/>
            <w:r>
              <w:rPr>
                <w:sz w:val="19"/>
              </w:rPr>
              <w:t>None significant</w:t>
            </w:r>
          </w:p>
        </w:tc>
        <w:tc>
          <w:tcPr>
            <w:tcW w:type="dxa" w:w="2808"/>
          </w:tcPr>
          <w:p>
            <w:r/>
            <w:r>
              <w:rPr>
                <w:sz w:val="19"/>
              </w:rPr>
              <w:t>Produce (Confidential)</w:t>
            </w:r>
          </w:p>
        </w:tc>
        <w:tc>
          <w:tcPr>
            <w:tcW w:type="dxa" w:w="1008"/>
            <w:shd w:val="clear" w:color="auto" w:fill="E2EFD9"/>
          </w:tcPr>
          <w:p>
            <w:r/>
            <w:r>
              <w:rPr>
                <w:sz w:val="19"/>
              </w:rPr>
              <w:t>Low</w:t>
            </w:r>
          </w:p>
        </w:tc>
      </w:tr>
      <w:tr>
        <w:tc>
          <w:tcPr>
            <w:tcW w:type="dxa" w:w="648"/>
          </w:tcPr>
          <w:p>
            <w:r/>
            <w:r>
              <w:rPr>
                <w:sz w:val="19"/>
              </w:rPr>
              <w:t>35</w:t>
            </w:r>
          </w:p>
        </w:tc>
        <w:tc>
          <w:tcPr>
            <w:tcW w:type="dxa" w:w="2304"/>
          </w:tcPr>
          <w:p>
            <w:r/>
            <w:r>
              <w:rPr>
                <w:sz w:val="19"/>
              </w:rPr>
              <w:t>Internal investigations re PureLine 400</w:t>
            </w:r>
          </w:p>
        </w:tc>
        <w:tc>
          <w:tcPr>
            <w:tcW w:type="dxa" w:w="2592"/>
          </w:tcPr>
          <w:p>
            <w:r/>
            <w:r>
              <w:rPr>
                <w:sz w:val="19"/>
              </w:rPr>
              <w:t>Privilege/work product</w:t>
            </w:r>
          </w:p>
        </w:tc>
        <w:tc>
          <w:tcPr>
            <w:tcW w:type="dxa" w:w="2808"/>
          </w:tcPr>
          <w:p>
            <w:r/>
            <w:r>
              <w:rPr>
                <w:sz w:val="19"/>
              </w:rPr>
              <w:t>Determine facts; log counsel-directed reviews</w:t>
            </w:r>
          </w:p>
        </w:tc>
        <w:tc>
          <w:tcPr>
            <w:tcW w:type="dxa" w:w="1008"/>
            <w:shd w:val="clear" w:color="auto" w:fill="F4CCCC"/>
          </w:tcPr>
          <w:p>
            <w:r/>
            <w:r>
              <w:rPr>
                <w:sz w:val="19"/>
              </w:rPr>
              <w:t>High</w:t>
            </w:r>
          </w:p>
        </w:tc>
      </w:tr>
      <w:tr>
        <w:tc>
          <w:tcPr>
            <w:tcW w:type="dxa" w:w="648"/>
          </w:tcPr>
          <w:p>
            <w:r/>
            <w:r>
              <w:rPr>
                <w:sz w:val="19"/>
              </w:rPr>
              <w:t>36</w:t>
            </w:r>
          </w:p>
        </w:tc>
        <w:tc>
          <w:tcPr>
            <w:tcW w:type="dxa" w:w="2304"/>
          </w:tcPr>
          <w:p>
            <w:r/>
            <w:r>
              <w:rPr>
                <w:sz w:val="19"/>
              </w:rPr>
              <w:t>All SAP/Windchill/PLM data, native</w:t>
            </w:r>
          </w:p>
        </w:tc>
        <w:tc>
          <w:tcPr>
            <w:tcW w:type="dxa" w:w="2592"/>
          </w:tcPr>
          <w:p>
            <w:r/>
            <w:r>
              <w:rPr>
                <w:sz w:val="19"/>
              </w:rPr>
              <w:t>Disproportionate; not reasonably usable</w:t>
            </w:r>
          </w:p>
        </w:tc>
        <w:tc>
          <w:tcPr>
            <w:tcW w:type="dxa" w:w="2808"/>
          </w:tcPr>
          <w:p>
            <w:r/>
            <w:r>
              <w:rPr>
                <w:sz w:val="19"/>
              </w:rPr>
              <w:t>Targeted exports; ESI protocol</w:t>
            </w:r>
          </w:p>
        </w:tc>
        <w:tc>
          <w:tcPr>
            <w:tcW w:type="dxa" w:w="1008"/>
            <w:shd w:val="clear" w:color="auto" w:fill="F4CCCC"/>
          </w:tcPr>
          <w:p>
            <w:r/>
            <w:r>
              <w:rPr>
                <w:sz w:val="19"/>
              </w:rPr>
              <w:t>High</w:t>
            </w:r>
          </w:p>
        </w:tc>
      </w:tr>
      <w:tr>
        <w:tc>
          <w:tcPr>
            <w:tcW w:type="dxa" w:w="648"/>
          </w:tcPr>
          <w:p>
            <w:r/>
            <w:r>
              <w:rPr>
                <w:sz w:val="19"/>
              </w:rPr>
              <w:t>37</w:t>
            </w:r>
          </w:p>
        </w:tc>
        <w:tc>
          <w:tcPr>
            <w:tcW w:type="dxa" w:w="2304"/>
          </w:tcPr>
          <w:p>
            <w:r/>
            <w:r>
              <w:rPr>
                <w:sz w:val="19"/>
              </w:rPr>
              <w:t>Access logs for NanoSieve materials</w:t>
            </w:r>
          </w:p>
        </w:tc>
        <w:tc>
          <w:tcPr>
            <w:tcW w:type="dxa" w:w="2592"/>
          </w:tcPr>
          <w:p>
            <w:r/>
            <w:r>
              <w:rPr>
                <w:sz w:val="19"/>
              </w:rPr>
              <w:t>Core; retention/preservation questions</w:t>
            </w:r>
          </w:p>
        </w:tc>
        <w:tc>
          <w:tcPr>
            <w:tcW w:type="dxa" w:w="2808"/>
          </w:tcPr>
          <w:p>
            <w:r/>
            <w:r>
              <w:rPr>
                <w:sz w:val="19"/>
              </w:rPr>
              <w:t>Produce available logs/controls</w:t>
            </w:r>
          </w:p>
        </w:tc>
        <w:tc>
          <w:tcPr>
            <w:tcW w:type="dxa" w:w="1008"/>
            <w:shd w:val="clear" w:color="auto" w:fill="FFF2CC"/>
          </w:tcPr>
          <w:p>
            <w:r/>
            <w:r>
              <w:rPr>
                <w:sz w:val="19"/>
              </w:rPr>
              <w:t>Medium</w:t>
            </w:r>
          </w:p>
        </w:tc>
      </w:tr>
      <w:tr>
        <w:tc>
          <w:tcPr>
            <w:tcW w:type="dxa" w:w="648"/>
          </w:tcPr>
          <w:p>
            <w:r/>
            <w:r>
              <w:rPr>
                <w:sz w:val="19"/>
              </w:rPr>
              <w:t>38</w:t>
            </w:r>
          </w:p>
        </w:tc>
        <w:tc>
          <w:tcPr>
            <w:tcW w:type="dxa" w:w="2304"/>
          </w:tcPr>
          <w:p>
            <w:r/>
            <w:r>
              <w:rPr>
                <w:sz w:val="19"/>
              </w:rPr>
              <w:t>Board/management strategy 2017–</w:t>
            </w:r>
          </w:p>
        </w:tc>
        <w:tc>
          <w:tcPr>
            <w:tcW w:type="dxa" w:w="2592"/>
          </w:tcPr>
          <w:p>
            <w:r/>
            <w:r>
              <w:rPr>
                <w:sz w:val="19"/>
              </w:rPr>
              <w:t>Overbroad; sensitive</w:t>
            </w:r>
          </w:p>
        </w:tc>
        <w:tc>
          <w:tcPr>
            <w:tcW w:type="dxa" w:w="2808"/>
          </w:tcPr>
          <w:p>
            <w:r/>
            <w:r>
              <w:rPr>
                <w:sz w:val="19"/>
              </w:rPr>
              <w:t>Limit to JV/NanoSieve/membrane/PureLine, 2018–</w:t>
            </w:r>
          </w:p>
        </w:tc>
        <w:tc>
          <w:tcPr>
            <w:tcW w:type="dxa" w:w="1008"/>
            <w:shd w:val="clear" w:color="auto" w:fill="FFF2CC"/>
          </w:tcPr>
          <w:p>
            <w:r/>
            <w:r>
              <w:rPr>
                <w:sz w:val="19"/>
              </w:rPr>
              <w:t>Medium</w:t>
            </w:r>
          </w:p>
        </w:tc>
      </w:tr>
      <w:tr>
        <w:tc>
          <w:tcPr>
            <w:tcW w:type="dxa" w:w="648"/>
          </w:tcPr>
          <w:p>
            <w:r/>
            <w:r>
              <w:rPr>
                <w:sz w:val="19"/>
              </w:rPr>
              <w:t>39</w:t>
            </w:r>
          </w:p>
        </w:tc>
        <w:tc>
          <w:tcPr>
            <w:tcW w:type="dxa" w:w="2304"/>
          </w:tcPr>
          <w:p>
            <w:r/>
            <w:r>
              <w:rPr>
                <w:sz w:val="19"/>
              </w:rPr>
              <w:t>PureLine 400 testing</w:t>
            </w:r>
          </w:p>
        </w:tc>
        <w:tc>
          <w:tcPr>
            <w:tcW w:type="dxa" w:w="2592"/>
          </w:tcPr>
          <w:p>
            <w:r/>
            <w:r>
              <w:rPr>
                <w:sz w:val="19"/>
              </w:rPr>
              <w:t>None significant</w:t>
            </w:r>
          </w:p>
        </w:tc>
        <w:tc>
          <w:tcPr>
            <w:tcW w:type="dxa" w:w="2808"/>
          </w:tcPr>
          <w:p>
            <w:r/>
            <w:r>
              <w:rPr>
                <w:sz w:val="19"/>
              </w:rPr>
              <w:t>Produce (AEO)</w:t>
            </w:r>
          </w:p>
        </w:tc>
        <w:tc>
          <w:tcPr>
            <w:tcW w:type="dxa" w:w="1008"/>
            <w:shd w:val="clear" w:color="auto" w:fill="E2EFD9"/>
          </w:tcPr>
          <w:p>
            <w:r/>
            <w:r>
              <w:rPr>
                <w:sz w:val="19"/>
              </w:rPr>
              <w:t>Low</w:t>
            </w:r>
          </w:p>
        </w:tc>
      </w:tr>
      <w:tr>
        <w:tc>
          <w:tcPr>
            <w:tcW w:type="dxa" w:w="648"/>
          </w:tcPr>
          <w:p>
            <w:r/>
            <w:r>
              <w:rPr>
                <w:sz w:val="19"/>
              </w:rPr>
              <w:t>40</w:t>
            </w:r>
          </w:p>
        </w:tc>
        <w:tc>
          <w:tcPr>
            <w:tcW w:type="dxa" w:w="2304"/>
          </w:tcPr>
          <w:p>
            <w:r/>
            <w:r>
              <w:rPr>
                <w:sz w:val="19"/>
              </w:rPr>
              <w:t>Financial statements, auditor workpapers</w:t>
            </w:r>
          </w:p>
        </w:tc>
        <w:tc>
          <w:tcPr>
            <w:tcW w:type="dxa" w:w="2592"/>
          </w:tcPr>
          <w:p>
            <w:r/>
            <w:r>
              <w:rPr>
                <w:sz w:val="19"/>
              </w:rPr>
              <w:t>Third-party control; proportionality</w:t>
            </w:r>
          </w:p>
        </w:tc>
        <w:tc>
          <w:tcPr>
            <w:tcW w:type="dxa" w:w="2808"/>
          </w:tcPr>
          <w:p>
            <w:r/>
            <w:r>
              <w:rPr>
                <w:sz w:val="19"/>
              </w:rPr>
              <w:t>Greenleaf statements AEO; no Ridgepoint workpapers</w:t>
            </w:r>
          </w:p>
        </w:tc>
        <w:tc>
          <w:tcPr>
            <w:tcW w:type="dxa" w:w="1008"/>
            <w:shd w:val="clear" w:color="auto" w:fill="FFF2CC"/>
          </w:tcPr>
          <w:p>
            <w:r/>
            <w:r>
              <w:rPr>
                <w:sz w:val="19"/>
              </w:rPr>
              <w:t>Medium</w:t>
            </w:r>
          </w:p>
        </w:tc>
      </w:tr>
      <w:tr>
        <w:tc>
          <w:tcPr>
            <w:tcW w:type="dxa" w:w="648"/>
          </w:tcPr>
          <w:p>
            <w:r/>
            <w:r>
              <w:rPr>
                <w:sz w:val="19"/>
              </w:rPr>
              <w:t>41</w:t>
            </w:r>
          </w:p>
        </w:tc>
        <w:tc>
          <w:tcPr>
            <w:tcW w:type="dxa" w:w="2304"/>
          </w:tcPr>
          <w:p>
            <w:r/>
            <w:r>
              <w:rPr>
                <w:sz w:val="19"/>
              </w:rPr>
              <w:t>Docs supporting/contradicting defenses</w:t>
            </w:r>
          </w:p>
        </w:tc>
        <w:tc>
          <w:tcPr>
            <w:tcW w:type="dxa" w:w="2592"/>
          </w:tcPr>
          <w:p>
            <w:r/>
            <w:r>
              <w:rPr>
                <w:sz w:val="19"/>
              </w:rPr>
              <w:t>Contention catch-all; work product</w:t>
            </w:r>
          </w:p>
        </w:tc>
        <w:tc>
          <w:tcPr>
            <w:tcW w:type="dxa" w:w="2808"/>
          </w:tcPr>
          <w:p>
            <w:r/>
            <w:r>
              <w:rPr>
                <w:sz w:val="19"/>
              </w:rPr>
              <w:t>Produce documents relied on; cross-reference</w:t>
            </w:r>
          </w:p>
        </w:tc>
        <w:tc>
          <w:tcPr>
            <w:tcW w:type="dxa" w:w="1008"/>
            <w:shd w:val="clear" w:color="auto" w:fill="FFF2CC"/>
          </w:tcPr>
          <w:p>
            <w:r/>
            <w:r>
              <w:rPr>
                <w:sz w:val="19"/>
              </w:rPr>
              <w:t>Medium</w:t>
            </w:r>
          </w:p>
        </w:tc>
      </w:tr>
      <w:tr>
        <w:tc>
          <w:tcPr>
            <w:tcW w:type="dxa" w:w="648"/>
          </w:tcPr>
          <w:p>
            <w:r/>
            <w:r>
              <w:rPr>
                <w:sz w:val="19"/>
              </w:rPr>
              <w:t>42</w:t>
            </w:r>
          </w:p>
        </w:tc>
        <w:tc>
          <w:tcPr>
            <w:tcW w:type="dxa" w:w="2304"/>
          </w:tcPr>
          <w:p>
            <w:r/>
            <w:r>
              <w:rPr>
                <w:sz w:val="19"/>
              </w:rPr>
              <w:t>Post-departure Ostrowski comms</w:t>
            </w:r>
          </w:p>
        </w:tc>
        <w:tc>
          <w:tcPr>
            <w:tcW w:type="dxa" w:w="2592"/>
          </w:tcPr>
          <w:p>
            <w:r/>
            <w:r>
              <w:rPr>
                <w:sz w:val="19"/>
              </w:rPr>
              <w:t>None</w:t>
            </w:r>
          </w:p>
        </w:tc>
        <w:tc>
          <w:tcPr>
            <w:tcW w:type="dxa" w:w="2808"/>
          </w:tcPr>
          <w:p>
            <w:r/>
            <w:r>
              <w:rPr>
                <w:sz w:val="19"/>
              </w:rPr>
              <w:t>Produce</w:t>
            </w:r>
          </w:p>
        </w:tc>
        <w:tc>
          <w:tcPr>
            <w:tcW w:type="dxa" w:w="1008"/>
            <w:shd w:val="clear" w:color="auto" w:fill="E2EFD9"/>
          </w:tcPr>
          <w:p>
            <w:r/>
            <w:r>
              <w:rPr>
                <w:sz w:val="19"/>
              </w:rPr>
              <w:t>Low</w:t>
            </w:r>
          </w:p>
        </w:tc>
      </w:tr>
      <w:tr>
        <w:tc>
          <w:tcPr>
            <w:tcW w:type="dxa" w:w="648"/>
          </w:tcPr>
          <w:p>
            <w:r/>
            <w:r>
              <w:rPr>
                <w:sz w:val="19"/>
              </w:rPr>
              <w:t>43</w:t>
            </w:r>
          </w:p>
        </w:tc>
        <w:tc>
          <w:tcPr>
            <w:tcW w:type="dxa" w:w="2304"/>
          </w:tcPr>
          <w:p>
            <w:r/>
            <w:r>
              <w:rPr>
                <w:sz w:val="19"/>
              </w:rPr>
              <w:t>Trade secret protection policies</w:t>
            </w:r>
          </w:p>
        </w:tc>
        <w:tc>
          <w:tcPr>
            <w:tcW w:type="dxa" w:w="2592"/>
          </w:tcPr>
          <w:p>
            <w:r/>
            <w:r>
              <w:rPr>
                <w:sz w:val="19"/>
              </w:rPr>
              <w:t>Minor overbreadth (all versions)</w:t>
            </w:r>
          </w:p>
        </w:tc>
        <w:tc>
          <w:tcPr>
            <w:tcW w:type="dxa" w:w="2808"/>
          </w:tcPr>
          <w:p>
            <w:r/>
            <w:r>
              <w:rPr>
                <w:sz w:val="19"/>
              </w:rPr>
              <w:t>Produce policies in effect</w:t>
            </w:r>
          </w:p>
        </w:tc>
        <w:tc>
          <w:tcPr>
            <w:tcW w:type="dxa" w:w="1008"/>
            <w:shd w:val="clear" w:color="auto" w:fill="E2EFD9"/>
          </w:tcPr>
          <w:p>
            <w:r/>
            <w:r>
              <w:rPr>
                <w:sz w:val="19"/>
              </w:rPr>
              <w:t>Low</w:t>
            </w:r>
          </w:p>
        </w:tc>
      </w:tr>
      <w:tr>
        <w:tc>
          <w:tcPr>
            <w:tcW w:type="dxa" w:w="648"/>
          </w:tcPr>
          <w:p>
            <w:r/>
            <w:r>
              <w:rPr>
                <w:sz w:val="19"/>
              </w:rPr>
              <w:t>44</w:t>
            </w:r>
          </w:p>
        </w:tc>
        <w:tc>
          <w:tcPr>
            <w:tcW w:type="dxa" w:w="2304"/>
          </w:tcPr>
          <w:p>
            <w:r/>
            <w:r>
              <w:rPr>
                <w:sz w:val="19"/>
              </w:rPr>
              <w:t>Third-party PureLine 400 supply/distribution agreements</w:t>
            </w:r>
          </w:p>
        </w:tc>
        <w:tc>
          <w:tcPr>
            <w:tcW w:type="dxa" w:w="2592"/>
          </w:tcPr>
          <w:p>
            <w:r/>
            <w:r>
              <w:rPr>
                <w:sz w:val="19"/>
              </w:rPr>
              <w:t>Supplier confidentiality; marginal relevance</w:t>
            </w:r>
          </w:p>
        </w:tc>
        <w:tc>
          <w:tcPr>
            <w:tcW w:type="dxa" w:w="2808"/>
          </w:tcPr>
          <w:p>
            <w:r/>
            <w:r>
              <w:rPr>
                <w:sz w:val="19"/>
              </w:rPr>
              <w:t>Produce agreements for membrane components; others sufficient-to-show</w:t>
            </w:r>
          </w:p>
        </w:tc>
        <w:tc>
          <w:tcPr>
            <w:tcW w:type="dxa" w:w="1008"/>
            <w:shd w:val="clear" w:color="auto" w:fill="E2EFD9"/>
          </w:tcPr>
          <w:p>
            <w:r/>
            <w:r>
              <w:rPr>
                <w:sz w:val="19"/>
              </w:rPr>
              <w:t>Low</w:t>
            </w:r>
          </w:p>
        </w:tc>
      </w:tr>
      <w:tr>
        <w:tc>
          <w:tcPr>
            <w:tcW w:type="dxa" w:w="648"/>
          </w:tcPr>
          <w:p>
            <w:r/>
            <w:r>
              <w:rPr>
                <w:sz w:val="19"/>
              </w:rPr>
              <w:t>45</w:t>
            </w:r>
          </w:p>
        </w:tc>
        <w:tc>
          <w:tcPr>
            <w:tcW w:type="dxa" w:w="2304"/>
          </w:tcPr>
          <w:p>
            <w:r/>
            <w:r>
              <w:rPr>
                <w:sz w:val="19"/>
              </w:rPr>
              <w:t>Public statements/SEC filings re PureLine/JV</w:t>
            </w:r>
          </w:p>
        </w:tc>
        <w:tc>
          <w:tcPr>
            <w:tcW w:type="dxa" w:w="2592"/>
          </w:tcPr>
          <w:p>
            <w:r/>
            <w:r>
              <w:rPr>
                <w:sz w:val="19"/>
              </w:rPr>
              <w:t>Confirm whether Greenleaf files with SEC</w:t>
            </w:r>
          </w:p>
        </w:tc>
        <w:tc>
          <w:tcPr>
            <w:tcW w:type="dxa" w:w="2808"/>
          </w:tcPr>
          <w:p>
            <w:r/>
            <w:r>
              <w:rPr>
                <w:sz w:val="19"/>
              </w:rPr>
              <w:t>Produce public statements</w:t>
            </w:r>
          </w:p>
        </w:tc>
        <w:tc>
          <w:tcPr>
            <w:tcW w:type="dxa" w:w="1008"/>
            <w:shd w:val="clear" w:color="auto" w:fill="E2EFD9"/>
          </w:tcPr>
          <w:p>
            <w:r/>
            <w:r>
              <w:rPr>
                <w:sz w:val="19"/>
              </w:rPr>
              <w:t>Low</w:t>
            </w:r>
          </w:p>
        </w:tc>
      </w:tr>
      <w:tr>
        <w:tc>
          <w:tcPr>
            <w:tcW w:type="dxa" w:w="648"/>
          </w:tcPr>
          <w:p>
            <w:r/>
            <w:r>
              <w:rPr>
                <w:sz w:val="19"/>
              </w:rPr>
              <w:t>46</w:t>
            </w:r>
          </w:p>
        </w:tc>
        <w:tc>
          <w:tcPr>
            <w:tcW w:type="dxa" w:w="2304"/>
          </w:tcPr>
          <w:p>
            <w:r/>
            <w:r>
              <w:rPr>
                <w:sz w:val="19"/>
              </w:rPr>
              <w:t>Litigation hold materials</w:t>
            </w:r>
          </w:p>
        </w:tc>
        <w:tc>
          <w:tcPr>
            <w:tcW w:type="dxa" w:w="2592"/>
          </w:tcPr>
          <w:p>
            <w:r/>
            <w:r>
              <w:rPr>
                <w:sz w:val="19"/>
              </w:rPr>
              <w:t>Privileged; preservation exposure</w:t>
            </w:r>
          </w:p>
        </w:tc>
        <w:tc>
          <w:tcPr>
            <w:tcW w:type="dxa" w:w="2808"/>
          </w:tcPr>
          <w:p>
            <w:r/>
            <w:r>
              <w:rPr>
                <w:sz w:val="19"/>
              </w:rPr>
              <w:t>Withhold notices; disclose basic hold facts reciprocally</w:t>
            </w:r>
          </w:p>
        </w:tc>
        <w:tc>
          <w:tcPr>
            <w:tcW w:type="dxa" w:w="1008"/>
            <w:shd w:val="clear" w:color="auto" w:fill="F4CCCC"/>
          </w:tcPr>
          <w:p>
            <w:r/>
            <w:r>
              <w:rPr>
                <w:sz w:val="19"/>
              </w:rPr>
              <w:t>High</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&amp; CONFIDENTIAL — ATTORNEY WORK PRODUCT — PREPARED IN ANTICIPATION OF LITIGATION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