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w:t>
        <w:br/>
        <w:t>ATTORNEY WORK PRODUCT — PREPARED IN ANTICIPATION OF LITIGATION</w:t>
      </w:r>
    </w:p>
    <w:p>
      <w:pPr>
        <w:jc w:val="center"/>
      </w:pPr>
      <w:r>
        <w:rPr>
          <w:b/>
          <w:sz w:val="32"/>
        </w:rPr>
        <w:t>MEMORANDUM</w:t>
      </w:r>
    </w:p>
    <w:tbl>
      <w:tblPr>
        <w:tblStyle w:val="TableGrid"/>
        <w:tblW w:type="auto" w:w="0"/>
        <w:tblLook w:firstColumn="1" w:firstRow="1" w:lastColumn="0" w:lastRow="0" w:noHBand="0" w:noVBand="1" w:val="04A0"/>
      </w:tblPr>
      <w:tblGrid>
        <w:gridCol w:w="4680"/>
        <w:gridCol w:w="4680"/>
      </w:tblGrid>
      <w:tr>
        <w:tc>
          <w:tcPr>
            <w:tcW w:type="dxa" w:w="1440"/>
            <w:shd w:val="clear" w:color="auto" w:fill="D9E2F3"/>
          </w:tcPr>
          <w:p>
            <w:r/>
            <w:r>
              <w:rPr>
                <w:b/>
                <w:sz w:val="20"/>
              </w:rPr>
            </w:r>
          </w:p>
        </w:tc>
        <w:tc>
          <w:tcPr>
            <w:tcW w:type="dxa" w:w="7920"/>
            <w:shd w:val="clear" w:color="auto" w:fill="D9E2F3"/>
          </w:tcPr>
          <w:p>
            <w:r/>
            <w:r>
              <w:rPr>
                <w:b/>
                <w:sz w:val="20"/>
              </w:rPr>
            </w:r>
          </w:p>
        </w:tc>
      </w:tr>
      <w:tr>
        <w:tc>
          <w:tcPr>
            <w:tcW w:type="dxa" w:w="1440"/>
          </w:tcPr>
          <w:p>
            <w:r/>
            <w:r>
              <w:rPr>
                <w:sz w:val="20"/>
              </w:rPr>
              <w:t>TO:</w:t>
            </w:r>
          </w:p>
        </w:tc>
        <w:tc>
          <w:tcPr>
            <w:tcW w:type="dxa" w:w="7920"/>
          </w:tcPr>
          <w:p>
            <w:r/>
            <w:r>
              <w:rPr>
                <w:sz w:val="20"/>
              </w:rPr>
              <w:t>Margaret Stillwell; Jonathan Falk — Whitfield &amp; Crane LLP (Counsel for Plaintiff Greenfield Modular Homes, Inc.)</w:t>
            </w:r>
          </w:p>
        </w:tc>
      </w:tr>
      <w:tr>
        <w:tc>
          <w:tcPr>
            <w:tcW w:type="dxa" w:w="1440"/>
          </w:tcPr>
          <w:p>
            <w:r/>
            <w:r>
              <w:rPr>
                <w:sz w:val="20"/>
              </w:rPr>
              <w:t>FROM:</w:t>
            </w:r>
          </w:p>
        </w:tc>
        <w:tc>
          <w:tcPr>
            <w:tcW w:type="dxa" w:w="7920"/>
          </w:tcPr>
          <w:p>
            <w:r/>
            <w:r>
              <w:rPr>
                <w:sz w:val="20"/>
              </w:rPr>
              <w:t>Litigation Team</w:t>
            </w:r>
          </w:p>
        </w:tc>
      </w:tr>
      <w:tr>
        <w:tc>
          <w:tcPr>
            <w:tcW w:type="dxa" w:w="1440"/>
          </w:tcPr>
          <w:p>
            <w:r/>
            <w:r>
              <w:rPr>
                <w:sz w:val="20"/>
              </w:rPr>
              <w:t>DATE:</w:t>
            </w:r>
          </w:p>
        </w:tc>
        <w:tc>
          <w:tcPr>
            <w:tcW w:type="dxa" w:w="7920"/>
          </w:tcPr>
          <w:p>
            <w:r/>
            <w:r>
              <w:rPr>
                <w:sz w:val="20"/>
              </w:rPr>
              <w:t>[Insert]</w:t>
            </w:r>
          </w:p>
        </w:tc>
      </w:tr>
      <w:tr>
        <w:tc>
          <w:tcPr>
            <w:tcW w:type="dxa" w:w="1440"/>
          </w:tcPr>
          <w:p>
            <w:r/>
            <w:r>
              <w:rPr>
                <w:sz w:val="20"/>
              </w:rPr>
              <w:t>RE:</w:t>
            </w:r>
          </w:p>
        </w:tc>
        <w:tc>
          <w:tcPr>
            <w:tcW w:type="dxa" w:w="7920"/>
          </w:tcPr>
          <w:p>
            <w:r/>
            <w:r>
              <w:rPr>
                <w:sz w:val="20"/>
              </w:rPr>
              <w:t>Greenfield Modular Homes, Inc. v. Pinnacle Supply Chain Solutions, LLC, No. 5:23-cv-00412-MTT (M.D. Ga.) — Prioritized issue identification for Opposition to Defendant's Motion for Summary Judgment (filed July 15, 2024)</w:t>
            </w:r>
          </w:p>
        </w:tc>
      </w:tr>
    </w:tbl>
    <w:p/>
    <w:p>
      <w:pPr>
        <w:pStyle w:val="Heading1"/>
      </w:pPr>
      <w:r>
        <w:t>I. Bottom Line</w:t>
      </w:r>
    </w:p>
    <w:p>
      <w:pPr>
        <w:spacing w:after="120"/>
      </w:pPr>
      <w:r>
        <w:rPr>
          <w:i w:val="0"/>
        </w:rPr>
        <w:t>Pinnacle's motion is vulnerable on every one of its six grounds, and several of its most consequential arguments rest on quotations of the Logistics Services Agreement ("LSA") that do not match the executed contract. The three highest-value points for the opposition are:</w:t>
      </w:r>
    </w:p>
    <w:p>
      <w:pPr>
        <w:pStyle w:val="ListBullet"/>
        <w:spacing w:after="120"/>
      </w:pPr>
      <w:r>
        <w:rPr>
          <w:b/>
        </w:rPr>
        <w:t>1. The liability cap is misquoted.</w:t>
      </w:r>
      <w:r>
        <w:rPr>
          <w:i w:val="0"/>
        </w:rPr>
        <w:t xml:space="preserve"> Pinnacle's brief quotes Section 7.1 as a flat "fees paid in the prior 12 months" cap ($1,860,000). The executed LSA caps liability at the greater of 12-month fees or $2,000,000; carves out gross negligence and willful misconduct; and, through Section 7.2, excludes indemnification claims (§ 9.1) and claims for which Pinnacle must carry insurance (§ 6.1(b) requires full-replacement-value property coverage on Greenfield inventory). The brief omits all of this.</w:t>
      </w:r>
    </w:p>
    <w:p>
      <w:pPr>
        <w:pStyle w:val="ListBullet"/>
        <w:spacing w:after="120"/>
      </w:pPr>
      <w:r>
        <w:rPr>
          <w:b/>
        </w:rPr>
        <w:t>2. The consequential-damages waiver is misquoted.</w:t>
      </w:r>
      <w:r>
        <w:rPr>
          <w:i w:val="0"/>
        </w:rPr>
        <w:t xml:space="preserve"> The executed Section 7.3 expressly does not apply to "breach of Section 4.2" — the humidity and reporting obligation at the center of this case. Pinnacle's quotation drops that carve-out and adds language ("regardless of whether such damages were foreseeable") that is not in the contract.</w:t>
      </w:r>
    </w:p>
    <w:p>
      <w:pPr>
        <w:pStyle w:val="ListBullet"/>
        <w:spacing w:after="120"/>
      </w:pPr>
      <w:r>
        <w:rPr>
          <w:b/>
        </w:rPr>
        <w:t>3. Force majeure fails on the contract language and the facts.</w:t>
      </w:r>
      <w:r>
        <w:rPr>
          <w:i w:val="0"/>
        </w:rPr>
        <w:t xml:space="preserve"> The quoted Section 11.7 leaves out the condition that the affected party "notifies the other within 72 hours," along with the written-notice requirements. Pinnacle's own facility manager testified that Greenfield was never notified. The record also shows mechanical failures (refrigerant leaks and a failed compressor), a refusal to replace the unit because it was "not in the budget," and a total failure in January 2023, when there was no summer heat. The summer heat was only 2–4°F above average.</w:t>
      </w:r>
    </w:p>
    <w:p>
      <w:pPr>
        <w:spacing w:after="120"/>
      </w:pPr>
      <w:r>
        <w:rPr>
          <w:i w:val="0"/>
        </w:rPr>
        <w:t>The mitigation and comparative-fault defenses leave out Sections 4.2, 4.5 and 7.4. Those sections make Pinnacle's reporting duty independent of Greenfield's inspection rights, and they state that a party has no duty to discover a breach the other party failed to disclose. Pinnacle's own facility manager testified that the November 2022–January 2023 reports were withheld on the Regional VP's instruction because "the numbers weren't good." Pinnacle's damages expert, Ellington, gives three different incremental-cost figures and three different salvage percentages. He admits he has no expertise in mold remediation and defers to our industrial hygienist on salvageability. His biography also differs between his declaration and his deposition. The record citations are unreliable throughout: the brief's SUMF paragraph numbers systematically do not match the filed SUMF, and several declaration citations point to paragraphs that say something else.</w:t>
      </w:r>
    </w:p>
    <w:p>
      <w:pPr>
        <w:spacing w:after="120"/>
      </w:pPr>
      <w:r>
        <w:rPr>
          <w:i w:val="0"/>
        </w:rPr>
        <w:t>Recommendation: oppose on all grounds; file Rule 56(c)(2) evidentiary objections; file a Rule 702 motion to exclude Ellington's salvageability and mitigation opinions; and fix the handful of weaknesses in our own record (Section VI) before filing. Before quoting any contract language to the Court, confirm that the LSA we reviewed is the final executed version and check whether Pinnacle attached a different version to the Overstreet Declaration. The discrepancies are large enough that we should rule out a competing-version dispute before accusing Pinnacle of misquotation.</w:t>
      </w:r>
    </w:p>
    <w:p>
      <w:pPr>
        <w:pStyle w:val="Heading1"/>
      </w:pPr>
      <w:r>
        <w:t>II. Priority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32"/>
            <w:shd w:val="clear" w:color="auto" w:fill="D9E2F3"/>
          </w:tcPr>
          <w:p>
            <w:r/>
            <w:r>
              <w:rPr>
                <w:b/>
                <w:sz w:val="20"/>
              </w:rPr>
              <w:t>#</w:t>
            </w:r>
          </w:p>
        </w:tc>
        <w:tc>
          <w:tcPr>
            <w:tcW w:type="dxa" w:w="3456"/>
            <w:shd w:val="clear" w:color="auto" w:fill="D9E2F3"/>
          </w:tcPr>
          <w:p>
            <w:r/>
            <w:r>
              <w:rPr>
                <w:b/>
                <w:sz w:val="20"/>
              </w:rPr>
              <w:t>Issue</w:t>
            </w:r>
          </w:p>
        </w:tc>
        <w:tc>
          <w:tcPr>
            <w:tcW w:type="dxa" w:w="1296"/>
            <w:shd w:val="clear" w:color="auto" w:fill="D9E2F3"/>
          </w:tcPr>
          <w:p>
            <w:r/>
            <w:r>
              <w:rPr>
                <w:b/>
                <w:sz w:val="20"/>
              </w:rPr>
              <w:t>MSJ Section</w:t>
            </w:r>
          </w:p>
        </w:tc>
        <w:tc>
          <w:tcPr>
            <w:tcW w:type="dxa" w:w="1152"/>
            <w:shd w:val="clear" w:color="auto" w:fill="D9E2F3"/>
          </w:tcPr>
          <w:p>
            <w:r/>
            <w:r>
              <w:rPr>
                <w:b/>
                <w:sz w:val="20"/>
              </w:rPr>
              <w:t>Priority</w:t>
            </w:r>
          </w:p>
        </w:tc>
        <w:tc>
          <w:tcPr>
            <w:tcW w:type="dxa" w:w="3024"/>
            <w:shd w:val="clear" w:color="auto" w:fill="D9E2F3"/>
          </w:tcPr>
          <w:p>
            <w:r/>
            <w:r>
              <w:rPr>
                <w:b/>
                <w:sz w:val="20"/>
              </w:rPr>
              <w:t>Effect</w:t>
            </w:r>
          </w:p>
        </w:tc>
      </w:tr>
      <w:tr>
        <w:tc>
          <w:tcPr>
            <w:tcW w:type="dxa" w:w="432"/>
          </w:tcPr>
          <w:p>
            <w:r/>
            <w:r>
              <w:rPr>
                <w:sz w:val="20"/>
              </w:rPr>
              <w:t>1</w:t>
            </w:r>
          </w:p>
        </w:tc>
        <w:tc>
          <w:tcPr>
            <w:tcW w:type="dxa" w:w="3456"/>
          </w:tcPr>
          <w:p>
            <w:r/>
            <w:r>
              <w:rPr>
                <w:sz w:val="20"/>
              </w:rPr>
              <w:t>§ 7.1 cap misquoted: $2M floor, gross negligence/willful misconduct carve-out, § 7.2 exclusions (indemnity; insured claims)</w:t>
            </w:r>
          </w:p>
        </w:tc>
        <w:tc>
          <w:tcPr>
            <w:tcW w:type="dxa" w:w="1296"/>
          </w:tcPr>
          <w:p>
            <w:r/>
            <w:r>
              <w:rPr>
                <w:sz w:val="20"/>
              </w:rPr>
              <w:t>IV.B</w:t>
            </w:r>
          </w:p>
        </w:tc>
        <w:tc>
          <w:tcPr>
            <w:tcW w:type="dxa" w:w="1152"/>
          </w:tcPr>
          <w:p>
            <w:r/>
            <w:r>
              <w:rPr>
                <w:sz w:val="20"/>
              </w:rPr>
              <w:t>CRITICAL</w:t>
            </w:r>
          </w:p>
        </w:tc>
        <w:tc>
          <w:tcPr>
            <w:tcW w:type="dxa" w:w="3024"/>
          </w:tcPr>
          <w:p>
            <w:r/>
            <w:r>
              <w:rPr>
                <w:sz w:val="20"/>
              </w:rPr>
              <w:t>Defeats the cap as a matter of law, or at minimum raises the floor to $2M and creates a jury issue</w:t>
            </w:r>
          </w:p>
        </w:tc>
      </w:tr>
      <w:tr>
        <w:tc>
          <w:tcPr>
            <w:tcW w:type="dxa" w:w="432"/>
          </w:tcPr>
          <w:p>
            <w:r/>
            <w:r>
              <w:rPr>
                <w:sz w:val="20"/>
              </w:rPr>
              <w:t>2</w:t>
            </w:r>
          </w:p>
        </w:tc>
        <w:tc>
          <w:tcPr>
            <w:tcW w:type="dxa" w:w="3456"/>
          </w:tcPr>
          <w:p>
            <w:r/>
            <w:r>
              <w:rPr>
                <w:sz w:val="20"/>
              </w:rPr>
              <w:t>§ 7.3 waiver misquoted: § 4.2 breach, gross negligence and willful misconduct carve-outs omitted</w:t>
            </w:r>
          </w:p>
        </w:tc>
        <w:tc>
          <w:tcPr>
            <w:tcW w:type="dxa" w:w="1296"/>
          </w:tcPr>
          <w:p>
            <w:r/>
            <w:r>
              <w:rPr>
                <w:sz w:val="20"/>
              </w:rPr>
              <w:t>IV.C</w:t>
            </w:r>
          </w:p>
        </w:tc>
        <w:tc>
          <w:tcPr>
            <w:tcW w:type="dxa" w:w="1152"/>
          </w:tcPr>
          <w:p>
            <w:r/>
            <w:r>
              <w:rPr>
                <w:sz w:val="20"/>
              </w:rPr>
              <w:t>CRITICAL</w:t>
            </w:r>
          </w:p>
        </w:tc>
        <w:tc>
          <w:tcPr>
            <w:tcW w:type="dxa" w:w="3024"/>
          </w:tcPr>
          <w:p>
            <w:r/>
            <w:r>
              <w:rPr>
                <w:sz w:val="20"/>
              </w:rPr>
              <w:t>Waiver does not apply to the $2.04M of expedited-manufacturing and lost-profit damages</w:t>
            </w:r>
          </w:p>
        </w:tc>
      </w:tr>
      <w:tr>
        <w:tc>
          <w:tcPr>
            <w:tcW w:type="dxa" w:w="432"/>
          </w:tcPr>
          <w:p>
            <w:r/>
            <w:r>
              <w:rPr>
                <w:sz w:val="20"/>
              </w:rPr>
              <w:t>3</w:t>
            </w:r>
          </w:p>
        </w:tc>
        <w:tc>
          <w:tcPr>
            <w:tcW w:type="dxa" w:w="3456"/>
          </w:tcPr>
          <w:p>
            <w:r/>
            <w:r>
              <w:rPr>
                <w:sz w:val="20"/>
              </w:rPr>
              <w:t>Force majeure: 72-hour notice condition omitted and never met; mechanical cause; budget decision; January failure; no utility outage</w:t>
            </w:r>
          </w:p>
        </w:tc>
        <w:tc>
          <w:tcPr>
            <w:tcW w:type="dxa" w:w="1296"/>
          </w:tcPr>
          <w:p>
            <w:r/>
            <w:r>
              <w:rPr>
                <w:sz w:val="20"/>
              </w:rPr>
              <w:t>IV.A</w:t>
            </w:r>
          </w:p>
        </w:tc>
        <w:tc>
          <w:tcPr>
            <w:tcW w:type="dxa" w:w="1152"/>
          </w:tcPr>
          <w:p>
            <w:r/>
            <w:r>
              <w:rPr>
                <w:sz w:val="20"/>
              </w:rPr>
              <w:t>CRITICAL</w:t>
            </w:r>
          </w:p>
        </w:tc>
        <w:tc>
          <w:tcPr>
            <w:tcW w:type="dxa" w:w="3024"/>
          </w:tcPr>
          <w:p>
            <w:r/>
            <w:r>
              <w:rPr>
                <w:sz w:val="20"/>
              </w:rPr>
              <w:t>Defense fails as a matter of law, or at least presents disputed facts</w:t>
            </w:r>
          </w:p>
        </w:tc>
      </w:tr>
      <w:tr>
        <w:tc>
          <w:tcPr>
            <w:tcW w:type="dxa" w:w="432"/>
          </w:tcPr>
          <w:p>
            <w:r/>
            <w:r>
              <w:rPr>
                <w:sz w:val="20"/>
              </w:rPr>
              <w:t>4</w:t>
            </w:r>
          </w:p>
        </w:tc>
        <w:tc>
          <w:tcPr>
            <w:tcW w:type="dxa" w:w="3456"/>
          </w:tcPr>
          <w:p>
            <w:r/>
            <w:r>
              <w:rPr>
                <w:sz w:val="20"/>
              </w:rPr>
              <w:t>Mitigation / inspection-rights theory ignores §§ 4.2, 4.5, 7.4 and evidence that reports were deliberately withheld</w:t>
            </w:r>
          </w:p>
        </w:tc>
        <w:tc>
          <w:tcPr>
            <w:tcW w:type="dxa" w:w="1296"/>
          </w:tcPr>
          <w:p>
            <w:r/>
            <w:r>
              <w:rPr>
                <w:sz w:val="20"/>
              </w:rPr>
              <w:t>IV.D</w:t>
            </w:r>
          </w:p>
        </w:tc>
        <w:tc>
          <w:tcPr>
            <w:tcW w:type="dxa" w:w="1152"/>
          </w:tcPr>
          <w:p>
            <w:r/>
            <w:r>
              <w:rPr>
                <w:sz w:val="20"/>
              </w:rPr>
              <w:t>CRITICAL</w:t>
            </w:r>
          </w:p>
        </w:tc>
        <w:tc>
          <w:tcPr>
            <w:tcW w:type="dxa" w:w="3024"/>
          </w:tcPr>
          <w:p>
            <w:r/>
            <w:r>
              <w:rPr>
                <w:sz w:val="20"/>
              </w:rPr>
              <w:t>Contract language defeats the defense; at minimum a fact question</w:t>
            </w:r>
          </w:p>
        </w:tc>
      </w:tr>
      <w:tr>
        <w:tc>
          <w:tcPr>
            <w:tcW w:type="dxa" w:w="432"/>
          </w:tcPr>
          <w:p>
            <w:r/>
            <w:r>
              <w:rPr>
                <w:sz w:val="20"/>
              </w:rPr>
              <w:t>5</w:t>
            </w:r>
          </w:p>
        </w:tc>
        <w:tc>
          <w:tcPr>
            <w:tcW w:type="dxa" w:w="3456"/>
          </w:tcPr>
          <w:p>
            <w:r/>
            <w:r>
              <w:rPr>
                <w:sz w:val="20"/>
              </w:rPr>
              <w:t>Ellington unreliable: inconsistent figures and credentials, concedes lack of expertise, defers to our CIH</w:t>
            </w:r>
          </w:p>
        </w:tc>
        <w:tc>
          <w:tcPr>
            <w:tcW w:type="dxa" w:w="1296"/>
          </w:tcPr>
          <w:p>
            <w:r/>
            <w:r>
              <w:rPr>
                <w:sz w:val="20"/>
              </w:rPr>
              <w:t>IV.F; SUMF ¶¶ 38–39</w:t>
            </w:r>
          </w:p>
        </w:tc>
        <w:tc>
          <w:tcPr>
            <w:tcW w:type="dxa" w:w="1152"/>
          </w:tcPr>
          <w:p>
            <w:r/>
            <w:r>
              <w:rPr>
                <w:sz w:val="20"/>
              </w:rPr>
              <w:t>HIGH</w:t>
            </w:r>
          </w:p>
        </w:tc>
        <w:tc>
          <w:tcPr>
            <w:tcW w:type="dxa" w:w="3024"/>
          </w:tcPr>
          <w:p>
            <w:r/>
            <w:r>
              <w:rPr>
                <w:sz w:val="20"/>
              </w:rPr>
              <w:t>Rule 702 exclusion; "undisputed expert evidence" claim fails</w:t>
            </w:r>
          </w:p>
        </w:tc>
      </w:tr>
      <w:tr>
        <w:tc>
          <w:tcPr>
            <w:tcW w:type="dxa" w:w="432"/>
          </w:tcPr>
          <w:p>
            <w:r/>
            <w:r>
              <w:rPr>
                <w:sz w:val="20"/>
              </w:rPr>
              <w:t>6</w:t>
            </w:r>
          </w:p>
        </w:tc>
        <w:tc>
          <w:tcPr>
            <w:tcW w:type="dxa" w:w="3456"/>
          </w:tcPr>
          <w:p>
            <w:r/>
            <w:r>
              <w:rPr>
                <w:sz w:val="20"/>
              </w:rPr>
              <w:t>Comparative fault (O.C.G.A. § 51-12-33) is a tort-apportionment statute applied to contract claims; relies on unfiled testimony</w:t>
            </w:r>
          </w:p>
        </w:tc>
        <w:tc>
          <w:tcPr>
            <w:tcW w:type="dxa" w:w="1296"/>
          </w:tcPr>
          <w:p>
            <w:r/>
            <w:r>
              <w:rPr>
                <w:sz w:val="20"/>
              </w:rPr>
              <w:t>IV.E</w:t>
            </w:r>
          </w:p>
        </w:tc>
        <w:tc>
          <w:tcPr>
            <w:tcW w:type="dxa" w:w="1152"/>
          </w:tcPr>
          <w:p>
            <w:r/>
            <w:r>
              <w:rPr>
                <w:sz w:val="20"/>
              </w:rPr>
              <w:t>HIGH</w:t>
            </w:r>
          </w:p>
        </w:tc>
        <w:tc>
          <w:tcPr>
            <w:tcW w:type="dxa" w:w="3024"/>
          </w:tcPr>
          <w:p>
            <w:r/>
            <w:r>
              <w:rPr>
                <w:sz w:val="20"/>
              </w:rPr>
              <w:t>Inapplicable to Counts I and III; apportionment is for the jury</w:t>
            </w:r>
          </w:p>
        </w:tc>
      </w:tr>
      <w:tr>
        <w:tc>
          <w:tcPr>
            <w:tcW w:type="dxa" w:w="432"/>
          </w:tcPr>
          <w:p>
            <w:r/>
            <w:r>
              <w:rPr>
                <w:sz w:val="20"/>
              </w:rPr>
              <w:t>7</w:t>
            </w:r>
          </w:p>
        </w:tc>
        <w:tc>
          <w:tcPr>
            <w:tcW w:type="dxa" w:w="3456"/>
          </w:tcPr>
          <w:p>
            <w:r/>
            <w:r>
              <w:rPr>
                <w:sz w:val="20"/>
              </w:rPr>
              <w:t>Record-citation failures: SUMF numbering mismatch, Hargrove transcript not in record, Okafor paragraphs mis-cited, factual claims with no source</w:t>
            </w:r>
          </w:p>
        </w:tc>
        <w:tc>
          <w:tcPr>
            <w:tcW w:type="dxa" w:w="1296"/>
          </w:tcPr>
          <w:p>
            <w:r/>
            <w:r>
              <w:rPr>
                <w:sz w:val="20"/>
              </w:rPr>
              <w:t>Throughout</w:t>
            </w:r>
          </w:p>
        </w:tc>
        <w:tc>
          <w:tcPr>
            <w:tcW w:type="dxa" w:w="1152"/>
          </w:tcPr>
          <w:p>
            <w:r/>
            <w:r>
              <w:rPr>
                <w:sz w:val="20"/>
              </w:rPr>
              <w:t>HIGH</w:t>
            </w:r>
          </w:p>
        </w:tc>
        <w:tc>
          <w:tcPr>
            <w:tcW w:type="dxa" w:w="3024"/>
          </w:tcPr>
          <w:p>
            <w:r/>
            <w:r>
              <w:rPr>
                <w:sz w:val="20"/>
              </w:rPr>
              <w:t>Rule 56(c)(1)/(c)(2) objections; LR 56 response</w:t>
            </w:r>
          </w:p>
        </w:tc>
      </w:tr>
      <w:tr>
        <w:tc>
          <w:tcPr>
            <w:tcW w:type="dxa" w:w="432"/>
          </w:tcPr>
          <w:p>
            <w:r/>
            <w:r>
              <w:rPr>
                <w:sz w:val="20"/>
              </w:rPr>
              <w:t>8</w:t>
            </w:r>
          </w:p>
        </w:tc>
        <w:tc>
          <w:tcPr>
            <w:tcW w:type="dxa" w:w="3456"/>
          </w:tcPr>
          <w:p>
            <w:r/>
            <w:r>
              <w:rPr>
                <w:sz w:val="20"/>
              </w:rPr>
              <w:t>Okafor Declaration contradicted by Holt testimony and the August 9, 2022 email; lay causation opinions</w:t>
            </w:r>
          </w:p>
        </w:tc>
        <w:tc>
          <w:tcPr>
            <w:tcW w:type="dxa" w:w="1296"/>
          </w:tcPr>
          <w:p>
            <w:r/>
            <w:r>
              <w:rPr>
                <w:sz w:val="20"/>
              </w:rPr>
              <w:t>IV.A, IV.D</w:t>
            </w:r>
          </w:p>
        </w:tc>
        <w:tc>
          <w:tcPr>
            <w:tcW w:type="dxa" w:w="1152"/>
          </w:tcPr>
          <w:p>
            <w:r/>
            <w:r>
              <w:rPr>
                <w:sz w:val="20"/>
              </w:rPr>
              <w:t>HIGH</w:t>
            </w:r>
          </w:p>
        </w:tc>
        <w:tc>
          <w:tcPr>
            <w:tcW w:type="dxa" w:w="3024"/>
          </w:tcPr>
          <w:p>
            <w:r/>
            <w:r>
              <w:rPr>
                <w:sz w:val="20"/>
              </w:rPr>
              <w:t>Credibility disputes preclude SJ; objections</w:t>
            </w:r>
          </w:p>
        </w:tc>
      </w:tr>
      <w:tr>
        <w:tc>
          <w:tcPr>
            <w:tcW w:type="dxa" w:w="432"/>
          </w:tcPr>
          <w:p>
            <w:r/>
            <w:r>
              <w:rPr>
                <w:sz w:val="20"/>
              </w:rPr>
              <w:t>9</w:t>
            </w:r>
          </w:p>
        </w:tc>
        <w:tc>
          <w:tcPr>
            <w:tcW w:type="dxa" w:w="3456"/>
          </w:tcPr>
          <w:p>
            <w:r/>
            <w:r>
              <w:rPr>
                <w:sz w:val="20"/>
              </w:rPr>
              <w:t>Evidence of gross negligence / willful misconduct (removes cap and waiver)</w:t>
            </w:r>
          </w:p>
        </w:tc>
        <w:tc>
          <w:tcPr>
            <w:tcW w:type="dxa" w:w="1296"/>
          </w:tcPr>
          <w:p>
            <w:r/>
            <w:r>
              <w:rPr>
                <w:sz w:val="20"/>
              </w:rPr>
              <w:t>Not addressed</w:t>
            </w:r>
          </w:p>
        </w:tc>
        <w:tc>
          <w:tcPr>
            <w:tcW w:type="dxa" w:w="1152"/>
          </w:tcPr>
          <w:p>
            <w:r/>
            <w:r>
              <w:rPr>
                <w:sz w:val="20"/>
              </w:rPr>
              <w:t>HIGH</w:t>
            </w:r>
          </w:p>
        </w:tc>
        <w:tc>
          <w:tcPr>
            <w:tcW w:type="dxa" w:w="3024"/>
          </w:tcPr>
          <w:p>
            <w:r/>
            <w:r>
              <w:rPr>
                <w:sz w:val="20"/>
              </w:rPr>
              <w:t>Independent route around §§ 7.1 and 7.3</w:t>
            </w:r>
          </w:p>
        </w:tc>
      </w:tr>
      <w:tr>
        <w:tc>
          <w:tcPr>
            <w:tcW w:type="dxa" w:w="432"/>
          </w:tcPr>
          <w:p>
            <w:r/>
            <w:r>
              <w:rPr>
                <w:sz w:val="20"/>
              </w:rPr>
              <w:t>10</w:t>
            </w:r>
          </w:p>
        </w:tc>
        <w:tc>
          <w:tcPr>
            <w:tcW w:type="dxa" w:w="3456"/>
          </w:tcPr>
          <w:p>
            <w:r/>
            <w:r>
              <w:rPr>
                <w:sz w:val="20"/>
              </w:rPr>
              <w:t>No argument addressing breach, negligence (Count II), good faith (Count III), § 4.3, § 9.1 or § 10.2(c)</w:t>
            </w:r>
          </w:p>
        </w:tc>
        <w:tc>
          <w:tcPr>
            <w:tcW w:type="dxa" w:w="1296"/>
          </w:tcPr>
          <w:p>
            <w:r/>
            <w:r>
              <w:rPr>
                <w:sz w:val="20"/>
              </w:rPr>
              <w:t>Throughout</w:t>
            </w:r>
          </w:p>
        </w:tc>
        <w:tc>
          <w:tcPr>
            <w:tcW w:type="dxa" w:w="1152"/>
          </w:tcPr>
          <w:p>
            <w:r/>
            <w:r>
              <w:rPr>
                <w:sz w:val="20"/>
              </w:rPr>
              <w:t>HIGH</w:t>
            </w:r>
          </w:p>
        </w:tc>
        <w:tc>
          <w:tcPr>
            <w:tcW w:type="dxa" w:w="3024"/>
          </w:tcPr>
          <w:p>
            <w:r/>
            <w:r>
              <w:rPr>
                <w:sz w:val="20"/>
              </w:rPr>
              <w:t>SJ on "all claims" is unsupported</w:t>
            </w:r>
          </w:p>
        </w:tc>
      </w:tr>
      <w:tr>
        <w:tc>
          <w:tcPr>
            <w:tcW w:type="dxa" w:w="432"/>
          </w:tcPr>
          <w:p>
            <w:r/>
            <w:r>
              <w:rPr>
                <w:sz w:val="20"/>
              </w:rPr>
              <w:t>11</w:t>
            </w:r>
          </w:p>
        </w:tc>
        <w:tc>
          <w:tcPr>
            <w:tcW w:type="dxa" w:w="3456"/>
          </w:tcPr>
          <w:p>
            <w:r/>
            <w:r>
              <w:rPr>
                <w:sz w:val="20"/>
              </w:rPr>
              <w:t>Damages challenges: overhead, expedited manufacturing, lost profits, $175K Linden fees (wrong statute)</w:t>
            </w:r>
          </w:p>
        </w:tc>
        <w:tc>
          <w:tcPr>
            <w:tcW w:type="dxa" w:w="1296"/>
          </w:tcPr>
          <w:p>
            <w:r/>
            <w:r>
              <w:rPr>
                <w:sz w:val="20"/>
              </w:rPr>
              <w:t>IV.C, IV.F</w:t>
            </w:r>
          </w:p>
        </w:tc>
        <w:tc>
          <w:tcPr>
            <w:tcW w:type="dxa" w:w="1152"/>
          </w:tcPr>
          <w:p>
            <w:r/>
            <w:r>
              <w:rPr>
                <w:sz w:val="20"/>
              </w:rPr>
              <w:t>MEDIUM</w:t>
            </w:r>
          </w:p>
        </w:tc>
        <w:tc>
          <w:tcPr>
            <w:tcW w:type="dxa" w:w="3024"/>
          </w:tcPr>
          <w:p>
            <w:r/>
            <w:r>
              <w:rPr>
                <w:sz w:val="20"/>
              </w:rPr>
              <w:t>Fact disputes; not proper for SJ</w:t>
            </w:r>
          </w:p>
        </w:tc>
      </w:tr>
      <w:tr>
        <w:tc>
          <w:tcPr>
            <w:tcW w:type="dxa" w:w="432"/>
          </w:tcPr>
          <w:p>
            <w:r/>
            <w:r>
              <w:rPr>
                <w:sz w:val="20"/>
              </w:rPr>
              <w:t>12</w:t>
            </w:r>
          </w:p>
        </w:tc>
        <w:tc>
          <w:tcPr>
            <w:tcW w:type="dxa" w:w="3456"/>
          </w:tcPr>
          <w:p>
            <w:r/>
            <w:r>
              <w:rPr>
                <w:sz w:val="20"/>
              </w:rPr>
              <w:t>Legal authorities to verify: miscited statutes, suspect case parentheticals, UCC Art. 2 listed in TOA</w:t>
            </w:r>
          </w:p>
        </w:tc>
        <w:tc>
          <w:tcPr>
            <w:tcW w:type="dxa" w:w="1296"/>
          </w:tcPr>
          <w:p>
            <w:r/>
            <w:r>
              <w:rPr>
                <w:sz w:val="20"/>
              </w:rPr>
              <w:t>Throughout</w:t>
            </w:r>
          </w:p>
        </w:tc>
        <w:tc>
          <w:tcPr>
            <w:tcW w:type="dxa" w:w="1152"/>
          </w:tcPr>
          <w:p>
            <w:r/>
            <w:r>
              <w:rPr>
                <w:sz w:val="20"/>
              </w:rPr>
              <w:t>MEDIUM</w:t>
            </w:r>
          </w:p>
        </w:tc>
        <w:tc>
          <w:tcPr>
            <w:tcW w:type="dxa" w:w="3024"/>
          </w:tcPr>
          <w:p>
            <w:r/>
            <w:r>
              <w:rPr>
                <w:sz w:val="20"/>
              </w:rPr>
              <w:t>Credibility; strips support from arguments</w:t>
            </w:r>
          </w:p>
        </w:tc>
      </w:tr>
      <w:tr>
        <w:tc>
          <w:tcPr>
            <w:tcW w:type="dxa" w:w="432"/>
          </w:tcPr>
          <w:p>
            <w:r/>
            <w:r>
              <w:rPr>
                <w:sz w:val="20"/>
              </w:rPr>
              <w:t>13</w:t>
            </w:r>
          </w:p>
        </w:tc>
        <w:tc>
          <w:tcPr>
            <w:tcW w:type="dxa" w:w="3456"/>
          </w:tcPr>
          <w:p>
            <w:r/>
            <w:r>
              <w:rPr>
                <w:sz w:val="20"/>
              </w:rPr>
              <w:t>Internal inconsistencies (dates, names, renewal notice, bar numbers)</w:t>
            </w:r>
          </w:p>
        </w:tc>
        <w:tc>
          <w:tcPr>
            <w:tcW w:type="dxa" w:w="1296"/>
          </w:tcPr>
          <w:p>
            <w:r/>
            <w:r>
              <w:rPr>
                <w:sz w:val="20"/>
              </w:rPr>
              <w:t>Throughout</w:t>
            </w:r>
          </w:p>
        </w:tc>
        <w:tc>
          <w:tcPr>
            <w:tcW w:type="dxa" w:w="1152"/>
          </w:tcPr>
          <w:p>
            <w:r/>
            <w:r>
              <w:rPr>
                <w:sz w:val="20"/>
              </w:rPr>
              <w:t>LOW</w:t>
            </w:r>
          </w:p>
        </w:tc>
        <w:tc>
          <w:tcPr>
            <w:tcW w:type="dxa" w:w="3024"/>
          </w:tcPr>
          <w:p>
            <w:r/>
            <w:r>
              <w:rPr>
                <w:sz w:val="20"/>
              </w:rPr>
              <w:t>Credibility / attention to detail</w:t>
            </w:r>
          </w:p>
        </w:tc>
      </w:tr>
    </w:tbl>
    <w:p/>
    <w:p>
      <w:pPr>
        <w:pStyle w:val="Heading1"/>
      </w:pPr>
      <w:r>
        <w:t>III. Critical Issues (Dispositive)</w:t>
      </w:r>
    </w:p>
    <w:p>
      <w:pPr>
        <w:pStyle w:val="Heading2"/>
      </w:pPr>
      <w:r>
        <w:t>Issue 1 — The Liability Cap (§ 7.1) Is Misquoted and Does Not Apply as Pinnacle Claims</w:t>
      </w:r>
    </w:p>
    <w:p>
      <w:pPr>
        <w:spacing w:after="120"/>
      </w:pPr>
      <w:r>
        <w:rPr>
          <w:i w:val="0"/>
        </w:rPr>
        <w:t>Pinnacle's quotation (MSJ at IV.B):</w:t>
      </w:r>
    </w:p>
    <w:p>
      <w:pPr>
        <w:spacing w:after="120"/>
      </w:pPr>
      <w:r>
        <w:rPr>
          <w:i/>
        </w:rPr>
        <w:t>"In no event shall Pinnacle's aggregate liability to Greenfield under this Agreement, whether in contract, tort, or otherwise, exceed the total fees paid by Greenfield to Pinnacle during the twelve (12) months preceding the date on which the claim first arose."</w:t>
      </w:r>
    </w:p>
    <w:p>
      <w:pPr>
        <w:spacing w:after="120"/>
      </w:pPr>
      <w:r>
        <w:rPr>
          <w:i w:val="0"/>
        </w:rPr>
        <w:t>Executed LSA § 7.1:</w:t>
      </w:r>
    </w:p>
    <w:p>
      <w:pPr>
        <w:spacing w:after="120"/>
      </w:pPr>
      <w:r>
        <w:rPr>
          <w:i/>
        </w:rPr>
        <w:t>"Pinnacle's aggregate liability under this Agreement shall not exceed the greater of (a) the total fees paid by Greenfield to Pinnacle during the twelve (12) months preceding the claim, or (b) $2,000,000. This limitation shall not apply to claims arising from Pinnacle's gross negligence or willful misconduct."</w:t>
      </w:r>
    </w:p>
    <w:p>
      <w:pPr>
        <w:spacing w:after="120"/>
      </w:pPr>
      <w:r>
        <w:rPr>
          <w:i w:val="0"/>
        </w:rPr>
        <w:t>Weaknesses and errors:</w:t>
      </w:r>
    </w:p>
    <w:p>
      <w:pPr>
        <w:pStyle w:val="ListBullet"/>
        <w:spacing w:after="120"/>
      </w:pPr>
      <w:r>
        <w:rPr>
          <w:b/>
        </w:rPr>
        <w:t>$2,000,000 floor omitted.</w:t>
      </w:r>
      <w:r>
        <w:rPr>
          <w:i w:val="0"/>
        </w:rPr>
        <w:t xml:space="preserve"> Even on Pinnacle's own theory, the cap can never be lower than $2,000,000. The brief's $1,860,000 figure is wrong as a matter of contract.</w:t>
      </w:r>
    </w:p>
    <w:p>
      <w:pPr>
        <w:pStyle w:val="ListBullet"/>
        <w:spacing w:after="120"/>
      </w:pPr>
      <w:r>
        <w:rPr>
          <w:b/>
        </w:rPr>
        <w:t>Gross negligence / willful misconduct carve-out omitted.</w:t>
      </w:r>
      <w:r>
        <w:rPr>
          <w:i w:val="0"/>
        </w:rPr>
        <w:t xml:space="preserve"> The second sentence of § 7.1 and § 7.2(b) both remove gross negligence and willful misconduct claims from the cap. The Holt testimony (Issue 9) supports both.</w:t>
      </w:r>
    </w:p>
    <w:p>
      <w:pPr>
        <w:pStyle w:val="ListBullet"/>
        <w:spacing w:after="120"/>
      </w:pPr>
      <w:r>
        <w:rPr>
          <w:b/>
        </w:rPr>
        <w:t>§ 7.2 exclusions omitted entirely.</w:t>
      </w:r>
      <w:r>
        <w:rPr>
          <w:i w:val="0"/>
        </w:rPr>
        <w:t xml:space="preserve"> (a) Pinnacle's indemnification obligations under § 9.1 are uncapped. § 9.1(a)–(b) covers "any and all Losses" arising from breach of §§ 4.1–4.6 and from contamination of Greenfield Inventory in Pinnacle's custody, including attorneys' fees. (d) The cap does not apply to "claims for which Pinnacle is required to maintain insurance under Article 6." § 6.1(b) requires property insurance "covering all goods and inventory stored at the Facility, including Greenfield Inventory, for not less than the full replacement value thereof." The $4.7M inventory claim falls within § 7.2(d) on its face. The brief never mentions § 7.2 or Article 6.</w:t>
      </w:r>
    </w:p>
    <w:p>
      <w:pPr>
        <w:pStyle w:val="ListBullet"/>
        <w:spacing w:after="120"/>
      </w:pPr>
      <w:r>
        <w:rPr>
          <w:b/>
        </w:rPr>
        <w:t>Language added.</w:t>
      </w:r>
      <w:r>
        <w:rPr>
          <w:i w:val="0"/>
        </w:rPr>
        <w:t xml:space="preserve"> "Whether in contract, tort, or otherwise" and "first arose" do not appear in § 7.1. The tort language matters because Pinnacle uses it to extend the cap to Count II.</w:t>
      </w:r>
    </w:p>
    <w:p>
      <w:pPr>
        <w:pStyle w:val="ListBullet"/>
        <w:spacing w:after="120"/>
      </w:pPr>
      <w:r>
        <w:rPr>
          <w:b/>
        </w:rPr>
        <w:t>Inconsistent 12-month period and figures.</w:t>
      </w:r>
      <w:r>
        <w:rPr>
          <w:i w:val="0"/>
        </w:rPr>
        <w:t xml:space="preserve"> The MSJ uses February 2022–January 2023. SUMF ¶ 14 uses July 2022–June 2023, a period that runs after the February 10, 2023 demand. SUMF ¶ 15 concedes that Greenfield withheld the January and February 2023 fees, so "fees paid" in either window could not be twelve full payments of $155,000. Ellington ¶ 28 describes $1,860,000 as fees paid "over the term of the engagement," but the relationship lasted about 25 months (roughly $3.9M at $155K/month). Section 5.4 annual fee adjustments, and Okafor Decl. ¶ 2 ("subject to periodic adjustment"), could also change the figure. The cap arithmetic is internally contradictory and unsupported.</w:t>
      </w:r>
    </w:p>
    <w:p>
      <w:pPr>
        <w:pStyle w:val="ListBullet"/>
        <w:spacing w:after="120"/>
      </w:pPr>
      <w:r>
        <w:rPr>
          <w:b/>
        </w:rPr>
        <w:t>Unsupported "negotiated by counsel" assertion.</w:t>
      </w:r>
      <w:r>
        <w:rPr>
          <w:i w:val="0"/>
        </w:rPr>
        <w:t xml:space="preserve"> The brief says "both parties were represented by counsel during the negotiation of the LSA. SUMF ¶ 5." SUMF ¶ 5 describes the Warner Robins Facility. Nothing in the record supports the claim of negotiation with counsel.</w:t>
      </w:r>
    </w:p>
    <w:p>
      <w:pPr>
        <w:spacing w:after="120"/>
      </w:pPr>
      <w:r>
        <w:rPr>
          <w:b/>
        </w:rPr>
        <w:t>Response:</w:t>
      </w:r>
      <w:r>
        <w:rPr>
          <w:i w:val="0"/>
        </w:rPr>
        <w:t>Opposition approach: Quote the full §§ 7.1–7.2 and Article 6. Argue that (i) the inventory and remediation claims are uncapped under § 7.2(d); (ii) all Losses within § 9.1 are uncapped under § 7.2(a); (iii) gross negligence and willful misconduct raise jury questions; and (iv) at an absolute minimum, the floor is $2M. Georgia law construes limitation-of-liability clauses strictly against the party seeking protection. Confirm Georgia authority on strict construction of exculpatory clauses and on public-policy limits for gross negligence before citing.</w:t>
      </w:r>
    </w:p>
    <w:p>
      <w:pPr>
        <w:pStyle w:val="Heading2"/>
      </w:pPr>
      <w:r>
        <w:t>Issue 2 — The Consequential-Damages Waiver (§ 7.3) Is Misquoted and Carves Out § 4.2 Breaches</w:t>
      </w:r>
    </w:p>
    <w:p>
      <w:pPr>
        <w:spacing w:after="120"/>
      </w:pPr>
      <w:r>
        <w:rPr>
          <w:i w:val="0"/>
        </w:rPr>
        <w:t>Pinnacle's quotation (MSJ at IV.C; SUMF ¶ 12): "Neither party shall be liable ... for any indirect, incidental, special, or consequential damages arising out of or related to this Agreement, regardless of the form of action, whether in contract, tort, or otherwise, and regardless of whether such damages were foreseeable."</w:t>
      </w:r>
    </w:p>
    <w:p>
      <w:pPr>
        <w:spacing w:after="120"/>
      </w:pPr>
      <w:r>
        <w:rPr>
          <w:i/>
        </w:rPr>
        <w:t>Executed LSA § 7.3: "Neither party shall be liable for any indirect, incidental, special, or consequential damages. This waiver shall not apply to claims arising from a party's gross negligence, willful misconduct, or breach of Section 4.2."</w:t>
      </w:r>
    </w:p>
    <w:p>
      <w:pPr>
        <w:pStyle w:val="ListBullet"/>
        <w:spacing w:after="120"/>
      </w:pPr>
      <w:r>
        <w:rPr>
          <w:b/>
        </w:rPr>
        <w:t>The § 4.2 carve-out is outcome-determinative.</w:t>
      </w:r>
      <w:r>
        <w:rPr>
          <w:i w:val="0"/>
        </w:rPr>
        <w:t xml:space="preserve"> Greenfield's core claim is breach of § 4.2: humidity above 60%, and failure to provide monthly environmental compliance reports. Pinnacle's own SUMF concedes both elements (¶ 25 no reports for Nov. 2022–Jan. 2023; ¶ 36 readings of 72–85% RH; ¶ 37 months of sustained exceedance). The waiver does not reach these damages at all.</w:t>
      </w:r>
    </w:p>
    <w:p>
      <w:pPr>
        <w:pStyle w:val="ListBullet"/>
        <w:spacing w:after="120"/>
      </w:pPr>
      <w:r>
        <w:rPr>
          <w:b/>
        </w:rPr>
        <w:t>Invented text.</w:t>
      </w:r>
      <w:r>
        <w:rPr>
          <w:i w:val="0"/>
        </w:rPr>
        <w:t xml:space="preserve"> "Arising out of or related to," "regardless of the form of action," "tort, strict liability" and "regardless of whether ... foreseeable" are not in the executed § 7.3. The brief then argues that the "mutual nature" of the clause shows it is fair and unambiguous, which is an argument built on text that does not exist.</w:t>
      </w:r>
    </w:p>
    <w:p>
      <w:pPr>
        <w:pStyle w:val="ListBullet"/>
        <w:spacing w:after="120"/>
      </w:pPr>
      <w:r>
        <w:rPr>
          <w:b/>
        </w:rPr>
        <w:t>Characterization problems.</w:t>
      </w:r>
      <w:r>
        <w:rPr>
          <w:i w:val="0"/>
        </w:rPr>
        <w:t xml:space="preserve"> Even if the waiver applied, expedited replacement manufacturing is arguably a direct cost of replacing destroyed goods (cover). Our CIH treats it as a direct consequence (Venkatesh Rpt. § 6.3). Ellington's own declaration table concedes $600,000–$750,000 of expedited manufacturing as recoverable (Ellington Decl. ¶ 27), which contradicts the brief's claim that all $1.15M is barred. Ellington's deposition statement that these costs are "consequential" (Dep. 46) is a legal conclusion, and he admits recoverability "would depend on the contractual terms and applicable law."</w:t>
      </w:r>
    </w:p>
    <w:p>
      <w:pPr>
        <w:pStyle w:val="ListBullet"/>
        <w:spacing w:after="120"/>
      </w:pPr>
      <w:r>
        <w:rPr>
          <w:b/>
        </w:rPr>
        <w:t>Misattributed expert support.</w:t>
      </w:r>
      <w:r>
        <w:rPr>
          <w:i w:val="0"/>
        </w:rPr>
        <w:t xml:space="preserve"> The brief cites Ellington Decl. ¶ 12 for the claim that expedited costs include replacement of panels at "the end of their useful shelf life." Neither ¶ 12 nor any other paragraph of the declaration says that. The brief cites Ellington ¶¶ 10–12 for lost-profit speculation, but the lost-profit opinions are at ¶¶ 23–24.</w:t>
      </w:r>
    </w:p>
    <w:p>
      <w:pPr>
        <w:pStyle w:val="Heading2"/>
      </w:pPr>
      <w:r>
        <w:t>Issue 3 — Force Majeure (§ 11.7) Fails on the Contract Language and the Record</w:t>
      </w:r>
    </w:p>
    <w:p>
      <w:pPr>
        <w:spacing w:after="120"/>
      </w:pPr>
      <w:r>
        <w:rPr>
          <w:i w:val="0"/>
        </w:rPr>
        <w:t>Executed § 11.7 conditions relief on the affected party "notif[ying] the other within 72 hours and us[ing] commercially reasonable efforts to resume performance." It also requires written notice stating the nature and expected duration of the event, the obligations affected, and the steps being taken to resume, plus ongoing updates. Pinnacle's quotation leaves out the notice condition entirely. SUMF ¶ 13 adds a "rendered impracticable" standard that is not in the clause.</w:t>
      </w:r>
    </w:p>
    <w:tbl>
      <w:tblPr>
        <w:tblStyle w:val="TableGrid"/>
        <w:tblW w:type="auto" w:w="0"/>
        <w:tblLook w:firstColumn="1" w:firstRow="1" w:lastColumn="0" w:lastRow="0" w:noHBand="0" w:noVBand="1" w:val="04A0"/>
      </w:tblPr>
      <w:tblGrid>
        <w:gridCol w:w="4680"/>
        <w:gridCol w:w="4680"/>
      </w:tblGrid>
      <w:tr>
        <w:tc>
          <w:tcPr>
            <w:tcW w:type="dxa" w:w="3312"/>
            <w:shd w:val="clear" w:color="auto" w:fill="D9E2F3"/>
          </w:tcPr>
          <w:p>
            <w:r/>
            <w:r>
              <w:rPr>
                <w:b/>
                <w:sz w:val="20"/>
              </w:rPr>
              <w:t>Pinnacle claim</w:t>
            </w:r>
          </w:p>
        </w:tc>
        <w:tc>
          <w:tcPr>
            <w:tcW w:type="dxa" w:w="6048"/>
            <w:shd w:val="clear" w:color="auto" w:fill="D9E2F3"/>
          </w:tcPr>
          <w:p>
            <w:r/>
            <w:r>
              <w:rPr>
                <w:b/>
                <w:sz w:val="20"/>
              </w:rPr>
              <w:t>Contrary record evidence</w:t>
            </w:r>
          </w:p>
        </w:tc>
      </w:tr>
      <w:tr>
        <w:tc>
          <w:tcPr>
            <w:tcW w:type="dxa" w:w="3312"/>
          </w:tcPr>
          <w:p>
            <w:r/>
            <w:r>
              <w:rPr>
                <w:sz w:val="20"/>
              </w:rPr>
              <w:t>FM relief is available (MSJ quotes clause without notice condition)</w:t>
            </w:r>
          </w:p>
        </w:tc>
        <w:tc>
          <w:tcPr>
            <w:tcW w:type="dxa" w:w="6048"/>
          </w:tcPr>
          <w:p>
            <w:r/>
            <w:r>
              <w:rPr>
                <w:sz w:val="20"/>
              </w:rPr>
              <w:t>No notice was ever given for June, August, October or January events (Holt Dep. 29, 41, 58, 68, 85; Santos Dep. 33–38, 45–51). Holt was not thinking about FM notice at the time (Holt Dep. 30). The condition precedent was not met.</w:t>
            </w:r>
          </w:p>
        </w:tc>
      </w:tr>
      <w:tr>
        <w:tc>
          <w:tcPr>
            <w:tcW w:type="dxa" w:w="3312"/>
          </w:tcPr>
          <w:p>
            <w:r/>
            <w:r>
              <w:rPr>
                <w:sz w:val="20"/>
              </w:rPr>
              <w:t>"Unprecedented," "record-breaking" heat (MSJ I, II.C, IV.A)</w:t>
            </w:r>
          </w:p>
        </w:tc>
        <w:tc>
          <w:tcPr>
            <w:tcW w:type="dxa" w:w="6048"/>
          </w:tcPr>
          <w:p>
            <w:r/>
            <w:r>
              <w:rPr>
                <w:sz w:val="20"/>
              </w:rPr>
              <w:t>Pinnacle's own SUMF ¶ 17 and NWS data show only 2–4°F above the 30-year average ("above-average"). Holt: "It's always hot in Warner Robins in the summer" (Dep. 101). Venkatesh Opinion 3: within normal HVAC design parameters and foreseeable.</w:t>
            </w:r>
          </w:p>
        </w:tc>
      </w:tr>
      <w:tr>
        <w:tc>
          <w:tcPr>
            <w:tcW w:type="dxa" w:w="3312"/>
          </w:tcPr>
          <w:p>
            <w:r/>
            <w:r>
              <w:rPr>
                <w:sz w:val="20"/>
              </w:rPr>
              <w:t>Heat caused the HVAC failures (SUMF ¶ 45; Okafor ¶ 4)</w:t>
            </w:r>
          </w:p>
        </w:tc>
        <w:tc>
          <w:tcPr>
            <w:tcW w:type="dxa" w:w="6048"/>
          </w:tcPr>
          <w:p>
            <w:r/>
            <w:r>
              <w:rPr>
                <w:sz w:val="20"/>
              </w:rPr>
              <w:t>Failures were a refrigerant leak (June), compressor plus refrigerant problems (Aug.), and total compressor failure (Jan. 18, 2023) (SUMF ¶¶ 18–21; Holt Dep. 28, 38, 82). Holt: "Those aren't caused by outside temperature. The unit was old ... past its useful life" (Dep. 101). Venkatesh Opinion 3: mechanical, deferred maintenance.</w:t>
            </w:r>
          </w:p>
        </w:tc>
      </w:tr>
      <w:tr>
        <w:tc>
          <w:tcPr>
            <w:tcW w:type="dxa" w:w="3312"/>
          </w:tcPr>
          <w:p>
            <w:r/>
            <w:r>
              <w:rPr>
                <w:sz w:val="20"/>
              </w:rPr>
              <w:t>Regional strain; "numerous facilities" affected (MSJ II.C, IV.A citing Okafor ¶ 4 and SUMF ¶ 14)</w:t>
            </w:r>
          </w:p>
        </w:tc>
        <w:tc>
          <w:tcPr>
            <w:tcW w:type="dxa" w:w="6048"/>
          </w:tcPr>
          <w:p>
            <w:r/>
            <w:r>
              <w:rPr>
                <w:sz w:val="20"/>
              </w:rPr>
              <w:t>Okafor ¶ 4 says nothing about other facilities. SUMF ¶ 14 is about fees. No record evidence supports this claim.</w:t>
            </w:r>
          </w:p>
        </w:tc>
      </w:tr>
      <w:tr>
        <w:tc>
          <w:tcPr>
            <w:tcW w:type="dxa" w:w="3312"/>
          </w:tcPr>
          <w:p>
            <w:r/>
            <w:r>
              <w:rPr>
                <w:sz w:val="20"/>
              </w:rPr>
              <w:t>Georgia Power records "reflect general strain on the regional power grid" (MSJ II.D)</w:t>
            </w:r>
          </w:p>
        </w:tc>
        <w:tc>
          <w:tcPr>
            <w:tcW w:type="dxa" w:w="6048"/>
          </w:tcPr>
          <w:p>
            <w:r/>
            <w:r>
              <w:rPr>
                <w:sz w:val="20"/>
              </w:rPr>
              <w:t>SUMF ¶ 22 (Pinnacle's own) says the opposite: no outages; service continuously maintained. Holt Dep. 103 agrees. This also rules out the "failure of third-party utilities" category.</w:t>
            </w:r>
          </w:p>
        </w:tc>
      </w:tr>
      <w:tr>
        <w:tc>
          <w:tcPr>
            <w:tcW w:type="dxa" w:w="3312"/>
          </w:tcPr>
          <w:p>
            <w:r/>
            <w:r>
              <w:rPr>
                <w:sz w:val="20"/>
              </w:rPr>
              <w:t>Heat event covered the relevant period</w:t>
            </w:r>
          </w:p>
        </w:tc>
        <w:tc>
          <w:tcPr>
            <w:tcW w:type="dxa" w:w="6048"/>
          </w:tcPr>
          <w:p>
            <w:r/>
            <w:r>
              <w:rPr>
                <w:sz w:val="20"/>
              </w:rPr>
              <w:t>By Okafor's own account the heat ran mid-June to late August (Okafor ¶ 4). The October exceedance, the Nov.–Jan. exceedances and the January 18 complete failure happened after the heat ended. The mold was pervasive by February.</w:t>
            </w:r>
          </w:p>
        </w:tc>
      </w:tr>
      <w:tr>
        <w:tc>
          <w:tcPr>
            <w:tcW w:type="dxa" w:w="3312"/>
          </w:tcPr>
          <w:p>
            <w:r/>
            <w:r>
              <w:rPr>
                <w:sz w:val="20"/>
              </w:rPr>
              <w:t>Commercially reasonable efforts (repair, not replace)</w:t>
            </w:r>
          </w:p>
        </w:tc>
        <w:tc>
          <w:tcPr>
            <w:tcW w:type="dxa" w:w="6048"/>
          </w:tcPr>
          <w:p>
            <w:r/>
            <w:r>
              <w:rPr>
                <w:sz w:val="20"/>
              </w:rPr>
              <w:t>Holt email of Aug. 9, 2022 (Ex. 14): "We really need to replace the whole unit — patching it isn't working." Okafor reply: "Get another patch. Replacement not in the budget until Q1 2023." A budget choice is within a party's control. No dehumidifiers were ever deployed (Holt Dep. 30, 83; Venkatesh ¶ 3.7), despite § 4.3's duty to "promptly deploy backup or temporary climate control measures sufficient to maintain" § 4.2 conditions. Blackthorn "can't come until next week" in October (Holt Dep. 57, Ex. 19).</w:t>
            </w:r>
          </w:p>
        </w:tc>
      </w:tr>
      <w:tr>
        <w:tc>
          <w:tcPr>
            <w:tcW w:type="dxa" w:w="3312"/>
          </w:tcPr>
          <w:p>
            <w:r/>
            <w:r>
              <w:rPr>
                <w:sz w:val="20"/>
              </w:rPr>
              <w:t>Replacement required months of lead time (Okafor ¶ 5)</w:t>
            </w:r>
          </w:p>
        </w:tc>
        <w:tc>
          <w:tcPr>
            <w:tcW w:type="dxa" w:w="6048"/>
          </w:tcPr>
          <w:p>
            <w:r/>
            <w:r>
              <w:rPr>
                <w:sz w:val="20"/>
              </w:rPr>
              <w:t>Holt recommended replacement in August 2022; by January 2023 Pinnacle "concurrently began the process of procuring a replacement" (Okafor ¶ 8). Five months of lead time were available and not used.</w:t>
            </w:r>
          </w:p>
        </w:tc>
      </w:tr>
    </w:tbl>
    <w:p/>
    <w:p>
      <w:pPr>
        <w:spacing w:after="120"/>
      </w:pPr>
      <w:r>
        <w:rPr>
          <w:i w:val="0"/>
        </w:rPr>
        <w:t>Additional points: (i) Under § 10.2(c) Pinnacle warranted that the HVAC was "adequate to maintain" § 4.2 conditions. (ii) FM cannot excuse the reporting and notice obligations (§§ 4.2, 4.3 24-hour HVAC-failure notice, Exhibit B ¶ 5 24-hour excursion notice), which heat did not prevent. (iii) The "act of God" argument depends on MSJ's citation of Ga. Power Co. v. Roper, 201 Ga. App. 283 (1991). Pull the case and confirm it exists and supports the parenthetical before responding. (iv) Pinnacle bears the burden on this affirmative defense and must support every element with record evidence. See Fitzpatrick v. City of Atlanta, 2 F.3d 1112, 1115–16 (11th Cir. 1993); United States v. Four Parcels of Real Prop., 941 F.2d 1428, 1438 (11th Cir. 1991) (en banc) (verify pin cites).</w:t>
      </w:r>
    </w:p>
    <w:p>
      <w:pPr>
        <w:pStyle w:val="Heading2"/>
      </w:pPr>
      <w:r>
        <w:t>Issue 4 — Mitigation / Inspection-Rights Theory Contradicts the Contract and the Record</w:t>
      </w:r>
    </w:p>
    <w:p>
      <w:pPr>
        <w:spacing w:after="120"/>
      </w:pPr>
      <w:r>
        <w:rPr>
          <w:i w:val="0"/>
        </w:rPr>
        <w:t>Pinnacle's mitigation argument (MSJ IV.D) and its comparative-fault argument (IV.E) both depend on Greenfield's failure to use § 4.5. The brief leaves out three provisions that answer that argument directly:</w:t>
      </w:r>
    </w:p>
    <w:p>
      <w:pPr>
        <w:pStyle w:val="ListBullet"/>
        <w:spacing w:after="120"/>
      </w:pPr>
      <w:r>
        <w:rPr>
          <w:b/>
        </w:rPr>
        <w:t>§ 4.2:</w:t>
      </w:r>
      <w:r>
        <w:rPr>
          <w:i w:val="0"/>
        </w:rPr>
        <w:t xml:space="preserve"> Pinnacle's reporting obligation "is an affirmative reporting obligation and shall not be conditioned upon or limited by Greenfield's exercise of its inspection rights under Section 4.5."</w:t>
      </w:r>
    </w:p>
    <w:p>
      <w:pPr>
        <w:pStyle w:val="ListBullet"/>
        <w:spacing w:after="120"/>
      </w:pPr>
      <w:r>
        <w:rPr>
          <w:b/>
        </w:rPr>
        <w:t>§ 4.5:</w:t>
      </w:r>
      <w:r>
        <w:rPr>
          <w:i w:val="0"/>
        </w:rPr>
        <w:t xml:space="preserve"> Greenfield's inspection right "is in addition to, and not in lieu of, Pinnacle's affirmative obligations to provide reports and notifications."</w:t>
      </w:r>
    </w:p>
    <w:p>
      <w:pPr>
        <w:pStyle w:val="ListBullet"/>
        <w:spacing w:after="120"/>
      </w:pPr>
      <w:r>
        <w:rPr>
          <w:b/>
        </w:rPr>
        <w:t>§ 7.4 (Duty to Mitigate):</w:t>
      </w:r>
      <w:r>
        <w:rPr>
          <w:i w:val="0"/>
        </w:rPr>
        <w:t xml:space="preserve"> Mitigation requires only steps that are "commercially reasonable under the circumstances then known," and "[n]othing in this Section shall impose upon a Party the obligation to discover a breach that the other Party has concealed or failed to disclose in accordance with its reporting or notification obligations."</w:t>
      </w:r>
    </w:p>
    <w:p>
      <w:pPr>
        <w:spacing w:after="120"/>
      </w:pPr>
      <w:r>
        <w:rPr>
          <w:i w:val="0"/>
        </w:rPr>
        <w:t>Record contradictions:</w:t>
      </w:r>
    </w:p>
    <w:p>
      <w:pPr>
        <w:pStyle w:val="ListBullet"/>
        <w:spacing w:after="120"/>
      </w:pPr>
      <w:r>
        <w:rPr>
          <w:b/>
        </w:rPr>
        <w:t>Deliberate withholding.</w:t>
      </w:r>
      <w:r>
        <w:rPr>
          <w:i w:val="0"/>
        </w:rPr>
        <w:t xml:space="preserve"> Holt testified that the reports were not sent "[b]ecause the numbers weren't good and I was told to hold off" by Okafor. Okafor told him in early November 2022, "No point in raising alarms before we have a solution," and in December, "Not yet, let's get through the holidays" (Holt Dep. 65–68, 99). Readings were "routinely in the upper 60s, sometimes in the 70s." This is concealment within the meaning of § 7.4.</w:t>
      </w:r>
    </w:p>
    <w:p>
      <w:pPr>
        <w:pStyle w:val="ListBullet"/>
        <w:spacing w:after="120"/>
      </w:pPr>
      <w:r>
        <w:rPr>
          <w:b/>
        </w:rPr>
        <w:t>Greenfield did follow up.</w:t>
      </w:r>
      <w:r>
        <w:rPr>
          <w:i w:val="0"/>
        </w:rPr>
        <w:t xml:space="preserve"> Santos emailed Holt in early December and again in January about the missing reports. Holt told him they were "coming soon" (Santos Dep. 33–38). This contradicts Ellington ¶ 20 ("Greenfield did not request the missing reports") and the brief's description of Greenfield as passive.</w:t>
      </w:r>
    </w:p>
    <w:p>
      <w:pPr>
        <w:pStyle w:val="ListBullet"/>
        <w:spacing w:after="120"/>
      </w:pPr>
      <w:r>
        <w:rPr>
          <w:b/>
        </w:rPr>
        <w:t>The reports Greenfield had showed compliance.</w:t>
      </w:r>
      <w:r>
        <w:rPr>
          <w:i w:val="0"/>
        </w:rPr>
        <w:t xml:space="preserve"> Every report Greenfield received, through October 2022, showed conditions within specification (Santos Dep. 33–38). Yet our CIH places initial colonization in June–August 2022, Holt recorded 78% RH on October 3, and Holt testified that building sensor data became "unreliable" whenever Unit 3 was down (Dep. 30). Holt could not say whether the October report disclosed the 78% reading (Dep. 58). The reports Greenfield relied on appear to have been inaccurate. That point strongly rebuts "Greenfield should have known" and supports bad faith.</w:t>
      </w:r>
    </w:p>
    <w:p>
      <w:pPr>
        <w:pStyle w:val="ListBullet"/>
        <w:spacing w:after="120"/>
      </w:pPr>
      <w:r>
        <w:rPr>
          <w:b/>
        </w:rPr>
        <w:t>"Access at all times" is false.</w:t>
      </w:r>
      <w:r>
        <w:rPr>
          <w:i w:val="0"/>
        </w:rPr>
        <w:t xml:space="preserve"> SUMF ¶ 23 and the brief say Greenfield "had access to environmental monitoring data at all times." § 4.5 requires 48 hours' written notice during business hours. Pinnacle itself claims the monitoring equipment had "calibration" problems (Okafor ¶ 7), and Holt had no reliable sensors during outages. Data that Pinnacle says was unreliable cannot have been available "at all times."</w:t>
      </w:r>
    </w:p>
    <w:p>
      <w:pPr>
        <w:pStyle w:val="ListBullet"/>
        <w:spacing w:after="120"/>
      </w:pPr>
      <w:r>
        <w:rPr>
          <w:b/>
        </w:rPr>
        <w:t>Santos visits were not inspections.</w:t>
      </w:r>
      <w:r>
        <w:rPr>
          <w:i w:val="0"/>
        </w:rPr>
        <w:t xml:space="preserve"> SUMF ¶ 30 concedes that Santos never gave 48-hour notice. His visits were logistics visits, not § 4.5 inspections (Santos Dep. 24–29). Santos has no HVAC training (Dep. 12–15). Pinnacle cannot treat these visits as missed inspections.</w:t>
      </w:r>
    </w:p>
    <w:p>
      <w:pPr>
        <w:pStyle w:val="ListBullet"/>
        <w:spacing w:after="120"/>
      </w:pPr>
      <w:r>
        <w:rPr>
          <w:b/>
        </w:rPr>
        <w:t>Visit timing.</w:t>
      </w:r>
      <w:r>
        <w:rPr>
          <w:i w:val="0"/>
        </w:rPr>
        <w:t xml:space="preserve"> The brief says Santos visited during the "period of alleged HVAC failures." With quarterly visits, the unit may well have been running on a patch when he was there, and the warehouse "always looked clean and organized."</w:t>
      </w:r>
    </w:p>
    <w:p>
      <w:pPr>
        <w:pStyle w:val="ListBullet"/>
        <w:spacing w:after="120"/>
      </w:pPr>
      <w:r>
        <w:rPr>
          <w:b/>
        </w:rPr>
        <w:t>Post-discovery "delay."</w:t>
      </w:r>
      <w:r>
        <w:rPr>
          <w:i w:val="0"/>
        </w:rPr>
        <w:t xml:space="preserve"> Pinnacle had custody of the goods. Ellington faults the four-day gap before the demand letter and the gap before the Feb. 15–17 inspection (Decl. ¶ 21), but Pinnacle controlled the facility and still had deployed no dehumidifiers when our CIH inspected (Venkatesh ¶ 3.7).</w:t>
      </w:r>
    </w:p>
    <w:p>
      <w:pPr>
        <w:pStyle w:val="ListBullet"/>
        <w:spacing w:after="120"/>
      </w:pPr>
      <w:r>
        <w:rPr>
          <w:b/>
        </w:rPr>
        <w:t>Remedy overstated.</w:t>
      </w:r>
      <w:r>
        <w:rPr>
          <w:i w:val="0"/>
        </w:rPr>
        <w:t xml:space="preserve"> Failure to mitigate reduces damages; it is not a complete bar, yet the brief asks the Court to "bar" recovery. Reasonableness of mitigation is classically a jury question.</w:t>
      </w:r>
    </w:p>
    <w:p>
      <w:pPr>
        <w:pStyle w:val="ListBullet"/>
        <w:spacing w:after="120"/>
      </w:pPr>
      <w:r>
        <w:rPr>
          <w:b/>
        </w:rPr>
        <w:t>Unfiled testimony.</w:t>
      </w:r>
      <w:r>
        <w:rPr>
          <w:i w:val="0"/>
        </w:rPr>
        <w:t xml:space="preserve"> The intro and IV.D rely on Hargrove's statement that Greenfield "trusted Pinnacle to do its job" (Hargrove Dep. 112:7-14; see also 115:3-9, 117:2-11). The SUMF does not cite those lines (SUMF cites Hargrove only at 12, 14, 55, 58, 72), and no Hargrove excerpts are in the materials we received. Confirm whether they were filed. If not, object under Rule 56(c)(1)(A) and (c)(2). Hargrove's cited testimony (SUMF ¶ 27) actually confirms that Greenfield reasonably relied on the contractual reports.</w:t>
      </w:r>
    </w:p>
    <w:p>
      <w:pPr>
        <w:pStyle w:val="Heading1"/>
      </w:pPr>
      <w:r>
        <w:t>IV. High-Priority Issues</w:t>
      </w:r>
    </w:p>
    <w:p>
      <w:pPr>
        <w:pStyle w:val="Heading2"/>
      </w:pPr>
      <w:r>
        <w:t>Issue 5 — Ellington's Opinions Are Inconsistent, Outside His Expertise, and Excludable</w:t>
      </w:r>
    </w:p>
    <w:p>
      <w:pPr>
        <w:spacing w:after="120"/>
      </w:pPr>
      <w:r>
        <w:rPr>
          <w:i w:val="0"/>
        </w:rPr>
        <w:t>The brief describes Ellington's opinions as "undisputed expert evidence." They are disputed by our CIH and are internally inconsistent across the MSJ, the SUMF, his declaration and his deposition:</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D9E2F3"/>
          </w:tcPr>
          <w:p>
            <w:r/>
            <w:r>
              <w:rPr>
                <w:b/>
                <w:sz w:val="20"/>
              </w:rPr>
              <w:t>Item</w:t>
            </w:r>
          </w:p>
        </w:tc>
        <w:tc>
          <w:tcPr>
            <w:tcW w:type="dxa" w:w="2160"/>
            <w:shd w:val="clear" w:color="auto" w:fill="D9E2F3"/>
          </w:tcPr>
          <w:p>
            <w:r/>
            <w:r>
              <w:rPr>
                <w:b/>
                <w:sz w:val="20"/>
              </w:rPr>
              <w:t>MSJ</w:t>
            </w:r>
          </w:p>
        </w:tc>
        <w:tc>
          <w:tcPr>
            <w:tcW w:type="dxa" w:w="2736"/>
            <w:shd w:val="clear" w:color="auto" w:fill="D9E2F3"/>
          </w:tcPr>
          <w:p>
            <w:r/>
            <w:r>
              <w:rPr>
                <w:b/>
                <w:sz w:val="20"/>
              </w:rPr>
              <w:t>Ellington Decl. (July 12, 2024)</w:t>
            </w:r>
          </w:p>
        </w:tc>
        <w:tc>
          <w:tcPr>
            <w:tcW w:type="dxa" w:w="2736"/>
            <w:shd w:val="clear" w:color="auto" w:fill="D9E2F3"/>
          </w:tcPr>
          <w:p>
            <w:r/>
            <w:r>
              <w:rPr>
                <w:b/>
                <w:sz w:val="20"/>
              </w:rPr>
              <w:t>Ellington Dep. (Apr. 18, 2024)</w:t>
            </w:r>
          </w:p>
        </w:tc>
      </w:tr>
      <w:tr>
        <w:tc>
          <w:tcPr>
            <w:tcW w:type="dxa" w:w="1728"/>
          </w:tcPr>
          <w:p>
            <w:r/>
            <w:r>
              <w:rPr>
                <w:sz w:val="20"/>
              </w:rPr>
              <w:t>Name / title</w:t>
            </w:r>
          </w:p>
        </w:tc>
        <w:tc>
          <w:tcPr>
            <w:tcW w:type="dxa" w:w="2160"/>
          </w:tcPr>
          <w:p>
            <w:r/>
            <w:r>
              <w:rPr>
                <w:sz w:val="20"/>
              </w:rPr>
              <w:t>"Dr. Raymond Ellington," industrial engineering consultant</w:t>
            </w:r>
          </w:p>
        </w:tc>
        <w:tc>
          <w:tcPr>
            <w:tcW w:type="dxa" w:w="2736"/>
          </w:tcPr>
          <w:p>
            <w:r/>
            <w:r>
              <w:rPr>
                <w:sz w:val="20"/>
              </w:rPr>
              <w:t>"Dr. Marcus Ellington, MBA"</w:t>
            </w:r>
          </w:p>
        </w:tc>
        <w:tc>
          <w:tcPr>
            <w:tcW w:type="dxa" w:w="2736"/>
          </w:tcPr>
          <w:p>
            <w:r/>
            <w:r>
              <w:rPr>
                <w:sz w:val="20"/>
              </w:rPr>
              <w:t>Marcus Anthony Ellington; holds only an MBA (so the "Dr." title is unsupported)</w:t>
            </w:r>
          </w:p>
        </w:tc>
      </w:tr>
      <w:tr>
        <w:tc>
          <w:tcPr>
            <w:tcW w:type="dxa" w:w="1728"/>
          </w:tcPr>
          <w:p>
            <w:r/>
            <w:r>
              <w:rPr>
                <w:sz w:val="20"/>
              </w:rPr>
              <w:t>Education</w:t>
            </w:r>
          </w:p>
        </w:tc>
        <w:tc>
          <w:tcPr>
            <w:tcW w:type="dxa" w:w="2160"/>
          </w:tcPr>
          <w:p>
            <w:r/>
            <w:r>
              <w:rPr>
                <w:sz w:val="20"/>
              </w:rPr>
              <w:t>—</w:t>
            </w:r>
          </w:p>
        </w:tc>
        <w:tc>
          <w:tcPr>
            <w:tcW w:type="dxa" w:w="2736"/>
          </w:tcPr>
          <w:p>
            <w:r/>
            <w:r>
              <w:rPr>
                <w:sz w:val="20"/>
              </w:rPr>
              <w:t>MBA, Halford Univ. (2001); BS Industrial Eng., Georgia Tech (1998); CSCMP; APICS CSCP</w:t>
            </w:r>
          </w:p>
        </w:tc>
        <w:tc>
          <w:tcPr>
            <w:tcW w:type="dxa" w:w="2736"/>
          </w:tcPr>
          <w:p>
            <w:r/>
            <w:r>
              <w:rPr>
                <w:sz w:val="20"/>
              </w:rPr>
              <w:t>MBA, Emory Goizueta; BA Economics, Univ. of Virginia</w:t>
            </w:r>
          </w:p>
        </w:tc>
      </w:tr>
      <w:tr>
        <w:tc>
          <w:tcPr>
            <w:tcW w:type="dxa" w:w="1728"/>
          </w:tcPr>
          <w:p>
            <w:r/>
            <w:r>
              <w:rPr>
                <w:sz w:val="20"/>
              </w:rPr>
              <w:t>Experience</w:t>
            </w:r>
          </w:p>
        </w:tc>
        <w:tc>
          <w:tcPr>
            <w:tcW w:type="dxa" w:w="2160"/>
          </w:tcPr>
          <w:p>
            <w:r/>
            <w:r>
              <w:rPr>
                <w:sz w:val="20"/>
              </w:rPr>
              <w:t>"over twenty years"</w:t>
            </w:r>
          </w:p>
        </w:tc>
        <w:tc>
          <w:tcPr>
            <w:tcW w:type="dxa" w:w="2736"/>
          </w:tcPr>
          <w:p>
            <w:r/>
            <w:r>
              <w:rPr>
                <w:sz w:val="20"/>
              </w:rPr>
              <w:t>22+ years; former VP Ops, Atlantic Corridor Logistics</w:t>
            </w:r>
          </w:p>
        </w:tc>
        <w:tc>
          <w:tcPr>
            <w:tcW w:type="dxa" w:w="2736"/>
          </w:tcPr>
          <w:p>
            <w:r/>
            <w:r>
              <w:rPr>
                <w:sz w:val="20"/>
              </w:rPr>
              <w:t>~18 years; six years at a larger consulting firm</w:t>
            </w:r>
          </w:p>
        </w:tc>
      </w:tr>
      <w:tr>
        <w:tc>
          <w:tcPr>
            <w:tcW w:type="dxa" w:w="1728"/>
          </w:tcPr>
          <w:p>
            <w:r/>
            <w:r>
              <w:rPr>
                <w:sz w:val="20"/>
              </w:rPr>
              <w:t>Prior testimony</w:t>
            </w:r>
          </w:p>
        </w:tc>
        <w:tc>
          <w:tcPr>
            <w:tcW w:type="dxa" w:w="2160"/>
          </w:tcPr>
          <w:p>
            <w:r/>
            <w:r>
              <w:rPr>
                <w:sz w:val="20"/>
              </w:rPr>
              <w:t>—</w:t>
            </w:r>
          </w:p>
        </w:tc>
        <w:tc>
          <w:tcPr>
            <w:tcW w:type="dxa" w:w="2736"/>
          </w:tcPr>
          <w:p>
            <w:r/>
            <w:r>
              <w:rPr>
                <w:sz w:val="20"/>
              </w:rPr>
              <w:t>~15 occasions</w:t>
            </w:r>
          </w:p>
        </w:tc>
        <w:tc>
          <w:tcPr>
            <w:tcW w:type="dxa" w:w="2736"/>
          </w:tcPr>
          <w:p>
            <w:r/>
            <w:r>
              <w:rPr>
                <w:sz w:val="20"/>
              </w:rPr>
              <w:t>~12 matters</w:t>
            </w:r>
          </w:p>
        </w:tc>
      </w:tr>
      <w:tr>
        <w:tc>
          <w:tcPr>
            <w:tcW w:type="dxa" w:w="1728"/>
          </w:tcPr>
          <w:p>
            <w:r/>
            <w:r>
              <w:rPr>
                <w:sz w:val="20"/>
              </w:rPr>
              <w:t>Number of opinions</w:t>
            </w:r>
          </w:p>
        </w:tc>
        <w:tc>
          <w:tcPr>
            <w:tcW w:type="dxa" w:w="2160"/>
          </w:tcPr>
          <w:p>
            <w:r/>
            <w:r>
              <w:rPr>
                <w:sz w:val="20"/>
              </w:rPr>
              <w:t>—</w:t>
            </w:r>
          </w:p>
        </w:tc>
        <w:tc>
          <w:tcPr>
            <w:tcW w:type="dxa" w:w="2736"/>
          </w:tcPr>
          <w:p>
            <w:r/>
            <w:r>
              <w:rPr>
                <w:sz w:val="20"/>
              </w:rPr>
              <w:t>Four</w:t>
            </w:r>
          </w:p>
        </w:tc>
        <w:tc>
          <w:tcPr>
            <w:tcW w:type="dxa" w:w="2736"/>
          </w:tcPr>
          <w:p>
            <w:r/>
            <w:r>
              <w:rPr>
                <w:sz w:val="20"/>
              </w:rPr>
              <w:t>"Three main opinions"</w:t>
            </w:r>
          </w:p>
        </w:tc>
      </w:tr>
      <w:tr>
        <w:tc>
          <w:tcPr>
            <w:tcW w:type="dxa" w:w="1728"/>
          </w:tcPr>
          <w:p>
            <w:r/>
            <w:r>
              <w:rPr>
                <w:sz w:val="20"/>
              </w:rPr>
              <w:t>Incremental cost/panel</w:t>
            </w:r>
          </w:p>
        </w:tc>
        <w:tc>
          <w:tcPr>
            <w:tcW w:type="dxa" w:w="2160"/>
          </w:tcPr>
          <w:p>
            <w:r/>
            <w:r>
              <w:rPr>
                <w:sz w:val="20"/>
              </w:rPr>
              <w:t>~$1,750 (reduction ~$790; $1,461,500)</w:t>
            </w:r>
          </w:p>
        </w:tc>
        <w:tc>
          <w:tcPr>
            <w:tcW w:type="dxa" w:w="2736"/>
          </w:tcPr>
          <w:p>
            <w:r/>
            <w:r>
              <w:rPr>
                <w:sz w:val="20"/>
              </w:rPr>
              <w:t>$1,680 (loss $3,108,000)</w:t>
            </w:r>
          </w:p>
        </w:tc>
        <w:tc>
          <w:tcPr>
            <w:tcW w:type="dxa" w:w="2736"/>
          </w:tcPr>
          <w:p>
            <w:r/>
            <w:r>
              <w:rPr>
                <w:sz w:val="20"/>
              </w:rPr>
              <w:t>~$1,780 (loss ~$3,293,000)</w:t>
            </w:r>
          </w:p>
        </w:tc>
      </w:tr>
      <w:tr>
        <w:tc>
          <w:tcPr>
            <w:tcW w:type="dxa" w:w="1728"/>
          </w:tcPr>
          <w:p>
            <w:r/>
            <w:r>
              <w:rPr>
                <w:sz w:val="20"/>
              </w:rPr>
              <w:t>Salvageable share</w:t>
            </w:r>
          </w:p>
        </w:tc>
        <w:tc>
          <w:tcPr>
            <w:tcW w:type="dxa" w:w="2160"/>
          </w:tcPr>
          <w:p>
            <w:r/>
            <w:r>
              <w:rPr>
                <w:sz w:val="20"/>
              </w:rPr>
              <w:t>35–45% (650–833 panels; $1.645M–$2.115M)</w:t>
            </w:r>
          </w:p>
        </w:tc>
        <w:tc>
          <w:tcPr>
            <w:tcW w:type="dxa" w:w="2736"/>
          </w:tcPr>
          <w:p>
            <w:r/>
            <w:r>
              <w:rPr>
                <w:sz w:val="20"/>
              </w:rPr>
              <w:t>30–40% (555–740 panels)</w:t>
            </w:r>
          </w:p>
        </w:tc>
        <w:tc>
          <w:tcPr>
            <w:tcW w:type="dxa" w:w="2736"/>
          </w:tcPr>
          <w:p>
            <w:r/>
            <w:r>
              <w:rPr>
                <w:sz w:val="20"/>
              </w:rPr>
              <w:t>"at least 25 to 30 percent"; $940K–$1.175M (these dollar figures match roughly 20–25% at full cost, not 25–30%)</w:t>
            </w:r>
          </w:p>
        </w:tc>
      </w:tr>
      <w:tr>
        <w:tc>
          <w:tcPr>
            <w:tcW w:type="dxa" w:w="1728"/>
          </w:tcPr>
          <w:p>
            <w:r/>
            <w:r>
              <w:rPr>
                <w:sz w:val="20"/>
              </w:rPr>
              <w:t>Facility / people</w:t>
            </w:r>
          </w:p>
        </w:tc>
        <w:tc>
          <w:tcPr>
            <w:tcW w:type="dxa" w:w="2160"/>
          </w:tcPr>
          <w:p>
            <w:r/>
            <w:r>
              <w:rPr>
                <w:sz w:val="20"/>
              </w:rPr>
              <w:t>Warner Robins</w:t>
            </w:r>
          </w:p>
        </w:tc>
        <w:tc>
          <w:tcPr>
            <w:tcW w:type="dxa" w:w="2736"/>
          </w:tcPr>
          <w:p>
            <w:r/>
            <w:r>
              <w:rPr>
                <w:sz w:val="20"/>
              </w:rPr>
              <w:t>Warner Robins; "Dr. Anita Venkatesh"</w:t>
            </w:r>
          </w:p>
        </w:tc>
        <w:tc>
          <w:tcPr>
            <w:tcW w:type="dxa" w:w="2736"/>
          </w:tcPr>
          <w:p>
            <w:r/>
            <w:r>
              <w:rPr>
                <w:sz w:val="20"/>
              </w:rPr>
              <w:t>"Warehouse 7 facility in Perry, Georgia"; "Mr. Robert Santos"; "Dr. Ananya Subramanian"</w:t>
            </w:r>
          </w:p>
        </w:tc>
      </w:tr>
    </w:tbl>
    <w:p/>
    <w:p>
      <w:pPr>
        <w:pStyle w:val="ListBullet"/>
        <w:spacing w:after="120"/>
      </w:pPr>
      <w:r>
        <w:rPr>
          <w:b/>
        </w:rPr>
        <w:t>Salvageability opinion — concession of no expertise.</w:t>
      </w:r>
      <w:r>
        <w:rPr>
          <w:i w:val="0"/>
        </w:rPr>
        <w:t xml:space="preserve"> Ellington has no training in mold remediation, industrial hygiene or microbiology; has never remediated mold; has never been qualified on the subject; did not review IICRC S520; and relied on two general trade publications (Dep. 78–83). He testified: "on the question of whether the panels were physically salvageable ... I would defer to someone with Dr. Subramanian's expertise," and "she's more qualified than I am" (Dep. 81–85). His declaration nonetheless claims he reviewed photographs and found only "surface contamination" (Decl. ¶ 16). That is a CIH-type opinion he disclaimed under oath. Our CIH found hyphal penetration into the substrate in 34 of 36 tape-lifts and 18 of 18 swabs, moisture content of 22–35%, warping in about 60% of panels and delamination in about 40%, all under IICRC S520 and EPA guidance.</w:t>
      </w:r>
    </w:p>
    <w:p>
      <w:pPr>
        <w:pStyle w:val="ListBullet"/>
        <w:spacing w:after="120"/>
      </w:pPr>
      <w:r>
        <w:rPr>
          <w:b/>
        </w:rPr>
        <w:t>Mitigation opinion — unreliable foundation.</w:t>
      </w:r>
      <w:r>
        <w:rPr>
          <w:i w:val="0"/>
        </w:rPr>
        <w:t xml:space="preserve"> He admitted he did not account for the withheld reports and "did not address" them in his report (Dep. 93–95). His declaration then states that Greenfield never followed up, which is contradicted by Santos. His "reasonable mitigation" timeline assumes Unit 3 "began experiencing performance degradation in approximately mid-September 2022" (Decl. ¶ 22), which conflicts with the June and August failures in the same maintenance logs. His recommendation of monthly or bi-weekly inspections has no cited source.</w:t>
      </w:r>
    </w:p>
    <w:p>
      <w:pPr>
        <w:pStyle w:val="ListBullet"/>
        <w:spacing w:after="120"/>
      </w:pPr>
      <w:r>
        <w:rPr>
          <w:b/>
        </w:rPr>
        <w:t>Mis-citations.</w:t>
      </w:r>
      <w:r>
        <w:rPr>
          <w:i w:val="0"/>
        </w:rPr>
        <w:t xml:space="preserve"> The brief cites Ellington Decl. ¶¶ 7–9 for the salvage opinions (actually ¶¶ 14–17), ¶ 8 for antimicrobial cleaning (¶ 8 lists materials reviewed), and "Ellington Expert Report (Jan. 15, 2024) at 18–22." January 15, 2024 is the date of our CIH's report. SUMF ¶¶ 38–39 cite the Ellington report at 15–16 and 18–20.</w:t>
      </w:r>
    </w:p>
    <w:p>
      <w:pPr>
        <w:pStyle w:val="ListBullet"/>
        <w:spacing w:after="120"/>
      </w:pPr>
      <w:r>
        <w:rPr>
          <w:b/>
        </w:rPr>
        <w:t>Declaration vs. deposition.</w:t>
      </w:r>
      <w:r>
        <w:rPr>
          <w:i w:val="0"/>
        </w:rPr>
        <w:t xml:space="preserve"> The declaration postdates the deposition by three months and changes figures and credentials without explanation. The errata made "no changes" to the excerpted pages. Consider arguing the declaration is an improper attempt to supplement or contradict sworn testimony, and check timeliness under the Rule 26(e) and scheduling-order expert deadlines.</w:t>
      </w:r>
    </w:p>
    <w:p>
      <w:pPr>
        <w:spacing w:after="120"/>
      </w:pPr>
      <w:r>
        <w:rPr>
          <w:b/>
        </w:rPr>
        <w:t xml:space="preserve">Recommendation: </w:t>
      </w:r>
      <w:r>
        <w:rPr>
          <w:i w:val="0"/>
        </w:rPr>
        <w:t>Action: file a Rule 702 / Daubert motion (or incorporate objections under Rule 56(c)(2)) to exclude the salvageability and mitigation opinions and the legal characterizations ("consequential"). Cross-reference the Venkatesh rebuttal (Opinion 5(e)).</w:t>
      </w:r>
    </w:p>
    <w:p>
      <w:pPr>
        <w:pStyle w:val="Heading2"/>
      </w:pPr>
      <w:r>
        <w:t>Issue 6 — Comparative Fault Is Misapplied</w:t>
      </w:r>
    </w:p>
    <w:p>
      <w:pPr>
        <w:pStyle w:val="ListBullet"/>
        <w:spacing w:after="120"/>
      </w:pPr>
      <w:r>
        <w:rPr>
          <w:b/>
        </w:rPr>
        <w:t>O.C.G.A. § 51-12-33 does not apply to contract claims.</w:t>
      </w:r>
      <w:r>
        <w:rPr>
          <w:i w:val="0"/>
        </w:rPr>
        <w:t xml:space="preserve"> Georgia's apportionment statute governs tort actions for injury to person or property. It is not a defense to breach of contract (Count I) or to breach of the implied covenant (Count III). The brief asks for SJ on "all of its claims" on this ground.</w:t>
      </w:r>
    </w:p>
    <w:p>
      <w:pPr>
        <w:pStyle w:val="ListBullet"/>
        <w:spacing w:after="120"/>
      </w:pPr>
      <w:r>
        <w:rPr>
          <w:b/>
        </w:rPr>
        <w:t>No duty identified.</w:t>
      </w:r>
      <w:r>
        <w:rPr>
          <w:i w:val="0"/>
        </w:rPr>
        <w:t xml:space="preserve"> The LSA allocated monitoring to Pinnacle (§ 4.2 "install and maintain commercially reasonable monitoring equipment"; § 3.4 industry standard of care for moisture-sensitive components; Exhibit B ¶ 5). No contract term or duty required Greenfield to install its own sensors or to negotiate real-time data access.</w:t>
      </w:r>
    </w:p>
    <w:p>
      <w:pPr>
        <w:pStyle w:val="ListBullet"/>
        <w:spacing w:after="120"/>
      </w:pPr>
      <w:r>
        <w:rPr>
          <w:b/>
        </w:rPr>
        <w:t>Apportionment is for the jury.</w:t>
      </w:r>
      <w:r>
        <w:rPr>
          <w:i w:val="0"/>
        </w:rPr>
        <w:t xml:space="preserve"> Allocating percentages of fault is a jury function. The request that the Court "find as a matter of law" a 50%-or-greater share has no support in the record.</w:t>
      </w:r>
    </w:p>
    <w:p>
      <w:pPr>
        <w:pStyle w:val="ListBullet"/>
        <w:spacing w:after="120"/>
      </w:pPr>
      <w:r>
        <w:rPr>
          <w:b/>
        </w:rPr>
        <w:t>Unfiled support.</w:t>
      </w:r>
      <w:r>
        <w:rPr>
          <w:i w:val="0"/>
        </w:rPr>
        <w:t xml:space="preserve"> The claim that Greenfield chose not to deploy sensors rests on Hargrove Dep. 115:3-9 and 117:2-11, which are not in the SUMF and appear not to be in the record.</w:t>
      </w:r>
    </w:p>
    <w:p>
      <w:pPr>
        <w:pStyle w:val="ListBullet"/>
        <w:spacing w:after="120"/>
      </w:pPr>
      <w:r>
        <w:rPr>
          <w:b/>
        </w:rPr>
        <w:t>Authority problem.</w:t>
      </w:r>
      <w:r>
        <w:rPr>
          <w:i w:val="0"/>
        </w:rPr>
        <w:t xml:space="preserve"> S. Gen. Ins. Co. v. Holt, 262 Ga. 267 (1992) is, to our understanding, an insurer failure-to-settle / bad-faith case, not an apportionment case. Denton v. Eaton Corp. also needs verification. See Issue 12.</w:t>
      </w:r>
    </w:p>
    <w:p>
      <w:pPr>
        <w:pStyle w:val="Heading2"/>
      </w:pPr>
      <w:r>
        <w:t>Issue 7 — Record-Citation Defects (Rule 56(c); LR 56)</w:t>
      </w:r>
    </w:p>
    <w:p>
      <w:pPr>
        <w:spacing w:after="120"/>
      </w:pPr>
      <w:r>
        <w:rPr>
          <w:i w:val="0"/>
        </w:rPr>
        <w:t>The brief's SUMF citations appear to have been written against a different version of the SUMF. Substantially every citation lands on the wrong paragraph:</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D9E2F3"/>
          </w:tcPr>
          <w:p>
            <w:r/>
            <w:r>
              <w:rPr>
                <w:b/>
                <w:sz w:val="20"/>
              </w:rPr>
              <w:t>MSJ assertion</w:t>
            </w:r>
          </w:p>
        </w:tc>
        <w:tc>
          <w:tcPr>
            <w:tcW w:type="dxa" w:w="2304"/>
            <w:shd w:val="clear" w:color="auto" w:fill="D9E2F3"/>
          </w:tcPr>
          <w:p>
            <w:r/>
            <w:r>
              <w:rPr>
                <w:b/>
                <w:sz w:val="20"/>
              </w:rPr>
              <w:t>MSJ cites</w:t>
            </w:r>
          </w:p>
        </w:tc>
        <w:tc>
          <w:tcPr>
            <w:tcW w:type="dxa" w:w="3744"/>
            <w:shd w:val="clear" w:color="auto" w:fill="D9E2F3"/>
          </w:tcPr>
          <w:p>
            <w:r/>
            <w:r>
              <w:rPr>
                <w:b/>
                <w:sz w:val="20"/>
              </w:rPr>
              <w:t>Actually located / problem</w:t>
            </w:r>
          </w:p>
        </w:tc>
      </w:tr>
      <w:tr>
        <w:tc>
          <w:tcPr>
            <w:tcW w:type="dxa" w:w="3312"/>
          </w:tcPr>
          <w:p>
            <w:r/>
            <w:r>
              <w:rPr>
                <w:sz w:val="20"/>
              </w:rPr>
              <w:t>Renewal on 90 days' notice</w:t>
            </w:r>
          </w:p>
        </w:tc>
        <w:tc>
          <w:tcPr>
            <w:tcW w:type="dxa" w:w="2304"/>
          </w:tcPr>
          <w:p>
            <w:r/>
            <w:r>
              <w:rPr>
                <w:sz w:val="20"/>
              </w:rPr>
              <w:t>SUMF ¶ 6</w:t>
            </w:r>
          </w:p>
        </w:tc>
        <w:tc>
          <w:tcPr>
            <w:tcW w:type="dxa" w:w="3744"/>
          </w:tcPr>
          <w:p>
            <w:r/>
            <w:r>
              <w:rPr>
                <w:sz w:val="20"/>
              </w:rPr>
              <w:t>SUMF ¶ 6 and LSA § 2.1 say 180 days</w:t>
            </w:r>
          </w:p>
        </w:tc>
      </w:tr>
      <w:tr>
        <w:tc>
          <w:tcPr>
            <w:tcW w:type="dxa" w:w="3312"/>
          </w:tcPr>
          <w:p>
            <w:r/>
            <w:r>
              <w:rPr>
                <w:sz w:val="20"/>
              </w:rPr>
              <w:t>Monthly fee $155,000</w:t>
            </w:r>
          </w:p>
        </w:tc>
        <w:tc>
          <w:tcPr>
            <w:tcW w:type="dxa" w:w="2304"/>
          </w:tcPr>
          <w:p>
            <w:r/>
            <w:r>
              <w:rPr>
                <w:sz w:val="20"/>
              </w:rPr>
              <w:t>SUMF ¶ 7</w:t>
            </w:r>
          </w:p>
        </w:tc>
        <w:tc>
          <w:tcPr>
            <w:tcW w:type="dxa" w:w="3744"/>
          </w:tcPr>
          <w:p>
            <w:r/>
            <w:r>
              <w:rPr>
                <w:sz w:val="20"/>
              </w:rPr>
              <w:t>¶ 7 = exclusivity; fee is ¶ 14</w:t>
            </w:r>
          </w:p>
        </w:tc>
      </w:tr>
      <w:tr>
        <w:tc>
          <w:tcPr>
            <w:tcW w:type="dxa" w:w="3312"/>
          </w:tcPr>
          <w:p>
            <w:r/>
            <w:r>
              <w:rPr>
                <w:sz w:val="20"/>
              </w:rPr>
              <w:t>§ 4.2 storage conditions / § 4.5 inspection</w:t>
            </w:r>
          </w:p>
        </w:tc>
        <w:tc>
          <w:tcPr>
            <w:tcW w:type="dxa" w:w="2304"/>
          </w:tcPr>
          <w:p>
            <w:r/>
            <w:r>
              <w:rPr>
                <w:sz w:val="20"/>
              </w:rPr>
              <w:t>SUMF ¶¶ 8, 9</w:t>
            </w:r>
          </w:p>
        </w:tc>
        <w:tc>
          <w:tcPr>
            <w:tcW w:type="dxa" w:w="3744"/>
          </w:tcPr>
          <w:p>
            <w:r/>
            <w:r>
              <w:rPr>
                <w:sz w:val="20"/>
              </w:rPr>
              <w:t>¶¶ 8–9 = § 4.2; § 4.5 is ¶ 10</w:t>
            </w:r>
          </w:p>
        </w:tc>
      </w:tr>
      <w:tr>
        <w:tc>
          <w:tcPr>
            <w:tcW w:type="dxa" w:w="3312"/>
          </w:tcPr>
          <w:p>
            <w:r/>
            <w:r>
              <w:rPr>
                <w:sz w:val="20"/>
              </w:rPr>
              <w:t>Liability cap / waiver / FM</w:t>
            </w:r>
          </w:p>
        </w:tc>
        <w:tc>
          <w:tcPr>
            <w:tcW w:type="dxa" w:w="2304"/>
          </w:tcPr>
          <w:p>
            <w:r/>
            <w:r>
              <w:rPr>
                <w:sz w:val="20"/>
              </w:rPr>
              <w:t>SUMF ¶¶ 10, 11, 12</w:t>
            </w:r>
          </w:p>
        </w:tc>
        <w:tc>
          <w:tcPr>
            <w:tcW w:type="dxa" w:w="3744"/>
          </w:tcPr>
          <w:p>
            <w:r/>
            <w:r>
              <w:rPr>
                <w:sz w:val="20"/>
              </w:rPr>
              <w:t>¶¶ 11, 12, 13</w:t>
            </w:r>
          </w:p>
        </w:tc>
      </w:tr>
      <w:tr>
        <w:tc>
          <w:tcPr>
            <w:tcW w:type="dxa" w:w="3312"/>
          </w:tcPr>
          <w:p>
            <w:r/>
            <w:r>
              <w:rPr>
                <w:sz w:val="20"/>
              </w:rPr>
              <w:t>Heat 2–4°F above average</w:t>
            </w:r>
          </w:p>
        </w:tc>
        <w:tc>
          <w:tcPr>
            <w:tcW w:type="dxa" w:w="2304"/>
          </w:tcPr>
          <w:p>
            <w:r/>
            <w:r>
              <w:rPr>
                <w:sz w:val="20"/>
              </w:rPr>
              <w:t>SUMF ¶ 13</w:t>
            </w:r>
          </w:p>
        </w:tc>
        <w:tc>
          <w:tcPr>
            <w:tcW w:type="dxa" w:w="3744"/>
          </w:tcPr>
          <w:p>
            <w:r/>
            <w:r>
              <w:rPr>
                <w:sz w:val="20"/>
              </w:rPr>
              <w:t>¶ 13 = FM clause; weather is ¶ 17</w:t>
            </w:r>
          </w:p>
        </w:tc>
      </w:tr>
      <w:tr>
        <w:tc>
          <w:tcPr>
            <w:tcW w:type="dxa" w:w="3312"/>
          </w:tcPr>
          <w:p>
            <w:r/>
            <w:r>
              <w:rPr>
                <w:sz w:val="20"/>
              </w:rPr>
              <w:t>Regional strain; Georgia Power strain</w:t>
            </w:r>
          </w:p>
        </w:tc>
        <w:tc>
          <w:tcPr>
            <w:tcW w:type="dxa" w:w="2304"/>
          </w:tcPr>
          <w:p>
            <w:r/>
            <w:r>
              <w:rPr>
                <w:sz w:val="20"/>
              </w:rPr>
              <w:t>SUMF ¶ 14</w:t>
            </w:r>
          </w:p>
        </w:tc>
        <w:tc>
          <w:tcPr>
            <w:tcW w:type="dxa" w:w="3744"/>
          </w:tcPr>
          <w:p>
            <w:r/>
            <w:r>
              <w:rPr>
                <w:sz w:val="20"/>
              </w:rPr>
              <w:t>¶ 14 = fees; ¶ 22 says no outages</w:t>
            </w:r>
          </w:p>
        </w:tc>
      </w:tr>
      <w:tr>
        <w:tc>
          <w:tcPr>
            <w:tcW w:type="dxa" w:w="3312"/>
          </w:tcPr>
          <w:p>
            <w:r/>
            <w:r>
              <w:rPr>
                <w:sz w:val="20"/>
              </w:rPr>
              <w:t>HVAC failures and repairs</w:t>
            </w:r>
          </w:p>
        </w:tc>
        <w:tc>
          <w:tcPr>
            <w:tcW w:type="dxa" w:w="2304"/>
          </w:tcPr>
          <w:p>
            <w:r/>
            <w:r>
              <w:rPr>
                <w:sz w:val="20"/>
              </w:rPr>
              <w:t>SUMF ¶¶ 15–20</w:t>
            </w:r>
          </w:p>
        </w:tc>
        <w:tc>
          <w:tcPr>
            <w:tcW w:type="dxa" w:w="3744"/>
          </w:tcPr>
          <w:p>
            <w:r/>
            <w:r>
              <w:rPr>
                <w:sz w:val="20"/>
              </w:rPr>
              <w:t>¶¶ 18–21 and 44</w:t>
            </w:r>
          </w:p>
        </w:tc>
      </w:tr>
      <w:tr>
        <w:tc>
          <w:tcPr>
            <w:tcW w:type="dxa" w:w="3312"/>
          </w:tcPr>
          <w:p>
            <w:r/>
            <w:r>
              <w:rPr>
                <w:sz w:val="20"/>
              </w:rPr>
              <w:t>Discovery; demand; inspection</w:t>
            </w:r>
          </w:p>
        </w:tc>
        <w:tc>
          <w:tcPr>
            <w:tcW w:type="dxa" w:w="2304"/>
          </w:tcPr>
          <w:p>
            <w:r/>
            <w:r>
              <w:rPr>
                <w:sz w:val="20"/>
              </w:rPr>
              <w:t>SUMF ¶¶ 32–35</w:t>
            </w:r>
          </w:p>
        </w:tc>
        <w:tc>
          <w:tcPr>
            <w:tcW w:type="dxa" w:w="3744"/>
          </w:tcPr>
          <w:p>
            <w:r/>
            <w:r>
              <w:rPr>
                <w:sz w:val="20"/>
              </w:rPr>
              <w:t>¶¶ 32–34; CEO notified (MSJ) vs. GC Yun notified (SUMF ¶ 32)</w:t>
            </w:r>
          </w:p>
        </w:tc>
      </w:tr>
      <w:tr>
        <w:tc>
          <w:tcPr>
            <w:tcW w:type="dxa" w:w="3312"/>
          </w:tcPr>
          <w:p>
            <w:r/>
            <w:r>
              <w:rPr>
                <w:sz w:val="20"/>
              </w:rPr>
              <w:t>Damages components</w:t>
            </w:r>
          </w:p>
        </w:tc>
        <w:tc>
          <w:tcPr>
            <w:tcW w:type="dxa" w:w="2304"/>
          </w:tcPr>
          <w:p>
            <w:r/>
            <w:r>
              <w:rPr>
                <w:sz w:val="20"/>
              </w:rPr>
              <w:t>SUMF ¶¶ 36–40</w:t>
            </w:r>
          </w:p>
        </w:tc>
        <w:tc>
          <w:tcPr>
            <w:tcW w:type="dxa" w:w="3744"/>
          </w:tcPr>
          <w:p>
            <w:r/>
            <w:r>
              <w:rPr>
                <w:sz w:val="20"/>
              </w:rPr>
              <w:t>¶¶ 40–42</w:t>
            </w:r>
          </w:p>
        </w:tc>
      </w:tr>
      <w:tr>
        <w:tc>
          <w:tcPr>
            <w:tcW w:type="dxa" w:w="3312"/>
          </w:tcPr>
          <w:p>
            <w:r/>
            <w:r>
              <w:rPr>
                <w:sz w:val="20"/>
              </w:rPr>
              <w:t>Ellington opinions</w:t>
            </w:r>
          </w:p>
        </w:tc>
        <w:tc>
          <w:tcPr>
            <w:tcW w:type="dxa" w:w="2304"/>
          </w:tcPr>
          <w:p>
            <w:r/>
            <w:r>
              <w:rPr>
                <w:sz w:val="20"/>
              </w:rPr>
              <w:t>SUMF ¶¶ 41–43</w:t>
            </w:r>
          </w:p>
        </w:tc>
        <w:tc>
          <w:tcPr>
            <w:tcW w:type="dxa" w:w="3744"/>
          </w:tcPr>
          <w:p>
            <w:r/>
            <w:r>
              <w:rPr>
                <w:sz w:val="20"/>
              </w:rPr>
              <w:t>¶¶ 38–39 (¶ 43 = cap)</w:t>
            </w:r>
          </w:p>
        </w:tc>
      </w:tr>
      <w:tr>
        <w:tc>
          <w:tcPr>
            <w:tcW w:type="dxa" w:w="3312"/>
          </w:tcPr>
          <w:p>
            <w:r/>
            <w:r>
              <w:rPr>
                <w:sz w:val="20"/>
              </w:rPr>
              <w:t>Santos visits / no concerns</w:t>
            </w:r>
          </w:p>
        </w:tc>
        <w:tc>
          <w:tcPr>
            <w:tcW w:type="dxa" w:w="2304"/>
          </w:tcPr>
          <w:p>
            <w:r/>
            <w:r>
              <w:rPr>
                <w:sz w:val="20"/>
              </w:rPr>
              <w:t>Santos Dep. 47:3-12, 48:15-22</w:t>
            </w:r>
          </w:p>
        </w:tc>
        <w:tc>
          <w:tcPr>
            <w:tcW w:type="dxa" w:w="3744"/>
          </w:tcPr>
          <w:p>
            <w:r/>
            <w:r>
              <w:rPr>
                <w:sz w:val="20"/>
              </w:rPr>
              <w:t>Visits are discussed at pp. 24–29; pp. 45–51 cover the Feb. 6 discovery. SUMF ¶¶ 28, 31 cite 15:6-12 (background pages)</w:t>
            </w:r>
          </w:p>
        </w:tc>
      </w:tr>
      <w:tr>
        <w:tc>
          <w:tcPr>
            <w:tcW w:type="dxa" w:w="3312"/>
          </w:tcPr>
          <w:p>
            <w:r/>
            <w:r>
              <w:rPr>
                <w:sz w:val="20"/>
              </w:rPr>
              <w:t>Okafor: regional heat / other facilities</w:t>
            </w:r>
          </w:p>
        </w:tc>
        <w:tc>
          <w:tcPr>
            <w:tcW w:type="dxa" w:w="2304"/>
          </w:tcPr>
          <w:p>
            <w:r/>
            <w:r>
              <w:rPr>
                <w:sz w:val="20"/>
              </w:rPr>
              <w:t>Okafor ¶¶ 3–4</w:t>
            </w:r>
          </w:p>
        </w:tc>
        <w:tc>
          <w:tcPr>
            <w:tcW w:type="dxa" w:w="3744"/>
          </w:tcPr>
          <w:p>
            <w:r/>
            <w:r>
              <w:rPr>
                <w:sz w:val="20"/>
              </w:rPr>
              <w:t>¶ 3 = facility description; neither paragraph mentions other facilities</w:t>
            </w:r>
          </w:p>
        </w:tc>
      </w:tr>
      <w:tr>
        <w:tc>
          <w:tcPr>
            <w:tcW w:type="dxa" w:w="3312"/>
          </w:tcPr>
          <w:p>
            <w:r/>
            <w:r>
              <w:rPr>
                <w:sz w:val="20"/>
              </w:rPr>
              <w:t>Okafor directed Blackthorn / monitored repairs</w:t>
            </w:r>
          </w:p>
        </w:tc>
        <w:tc>
          <w:tcPr>
            <w:tcW w:type="dxa" w:w="2304"/>
          </w:tcPr>
          <w:p>
            <w:r/>
            <w:r>
              <w:rPr>
                <w:sz w:val="20"/>
              </w:rPr>
              <w:t>Okafor ¶ 7</w:t>
            </w:r>
          </w:p>
        </w:tc>
        <w:tc>
          <w:tcPr>
            <w:tcW w:type="dxa" w:w="3744"/>
          </w:tcPr>
          <w:p>
            <w:r/>
            <w:r>
              <w:rPr>
                <w:sz w:val="20"/>
              </w:rPr>
              <w:t>¶ 7 = report delays; the claim is closest to ¶ 5</w:t>
            </w:r>
          </w:p>
        </w:tc>
      </w:tr>
      <w:tr>
        <w:tc>
          <w:tcPr>
            <w:tcW w:type="dxa" w:w="3312"/>
          </w:tcPr>
          <w:p>
            <w:r/>
            <w:r>
              <w:rPr>
                <w:sz w:val="20"/>
              </w:rPr>
              <w:t>Okafor "did not recall" instructing withholding</w:t>
            </w:r>
          </w:p>
        </w:tc>
        <w:tc>
          <w:tcPr>
            <w:tcW w:type="dxa" w:w="2304"/>
          </w:tcPr>
          <w:p>
            <w:r/>
            <w:r>
              <w:rPr>
                <w:sz w:val="20"/>
              </w:rPr>
              <w:t>Okafor ¶ 9</w:t>
            </w:r>
          </w:p>
        </w:tc>
        <w:tc>
          <w:tcPr>
            <w:tcW w:type="dxa" w:w="3744"/>
          </w:tcPr>
          <w:p>
            <w:r/>
            <w:r>
              <w:rPr>
                <w:sz w:val="20"/>
              </w:rPr>
              <w:t>¶ 7 (and Okafor Dep. 67, not provided)</w:t>
            </w:r>
          </w:p>
        </w:tc>
      </w:tr>
      <w:tr>
        <w:tc>
          <w:tcPr>
            <w:tcW w:type="dxa" w:w="3312"/>
          </w:tcPr>
          <w:p>
            <w:r/>
            <w:r>
              <w:rPr>
                <w:sz w:val="20"/>
              </w:rPr>
              <w:t>Reporting obligations "fulfilled in ordinary course"</w:t>
            </w:r>
          </w:p>
        </w:tc>
        <w:tc>
          <w:tcPr>
            <w:tcW w:type="dxa" w:w="2304"/>
          </w:tcPr>
          <w:p>
            <w:r/>
            <w:r>
              <w:rPr>
                <w:sz w:val="20"/>
              </w:rPr>
              <w:t>Okafor ¶ 8</w:t>
            </w:r>
          </w:p>
        </w:tc>
        <w:tc>
          <w:tcPr>
            <w:tcW w:type="dxa" w:w="3744"/>
          </w:tcPr>
          <w:p>
            <w:r/>
            <w:r>
              <w:rPr>
                <w:sz w:val="20"/>
              </w:rPr>
              <w:t>¶ 8 = January failure; no such statement anywhere. SUMF ¶ 25 concedes no reports</w:t>
            </w:r>
          </w:p>
        </w:tc>
      </w:tr>
      <w:tr>
        <w:tc>
          <w:tcPr>
            <w:tcW w:type="dxa" w:w="3312"/>
          </w:tcPr>
          <w:p>
            <w:r/>
            <w:r>
              <w:rPr>
                <w:sz w:val="20"/>
              </w:rPr>
              <w:t>January fans deployed</w:t>
            </w:r>
          </w:p>
        </w:tc>
        <w:tc>
          <w:tcPr>
            <w:tcW w:type="dxa" w:w="2304"/>
          </w:tcPr>
          <w:p>
            <w:r/>
            <w:r>
              <w:rPr>
                <w:sz w:val="20"/>
              </w:rPr>
              <w:t>SUMF ¶ 21 cites Okafor ¶ 9</w:t>
            </w:r>
          </w:p>
        </w:tc>
        <w:tc>
          <w:tcPr>
            <w:tcW w:type="dxa" w:w="3744"/>
          </w:tcPr>
          <w:p>
            <w:r/>
            <w:r>
              <w:rPr>
                <w:sz w:val="20"/>
              </w:rPr>
              <w:t>¶ 8</w:t>
            </w:r>
          </w:p>
        </w:tc>
      </w:tr>
      <w:tr>
        <w:tc>
          <w:tcPr>
            <w:tcW w:type="dxa" w:w="3312"/>
          </w:tcPr>
          <w:p>
            <w:r/>
            <w:r>
              <w:rPr>
                <w:sz w:val="20"/>
              </w:rPr>
              <w:t>Unit 3 serves C/D</w:t>
            </w:r>
          </w:p>
        </w:tc>
        <w:tc>
          <w:tcPr>
            <w:tcW w:type="dxa" w:w="2304"/>
          </w:tcPr>
          <w:p>
            <w:r/>
            <w:r>
              <w:rPr>
                <w:sz w:val="20"/>
              </w:rPr>
              <w:t>SUMF ¶ 16 cites Okafor ¶ 5, "Brian Holt" Dep.</w:t>
            </w:r>
          </w:p>
        </w:tc>
        <w:tc>
          <w:tcPr>
            <w:tcW w:type="dxa" w:w="3744"/>
          </w:tcPr>
          <w:p>
            <w:r/>
            <w:r>
              <w:rPr>
                <w:sz w:val="20"/>
              </w:rPr>
              <w:t>Okafor ¶ 3; the witness is Derek Holt</w:t>
            </w:r>
          </w:p>
        </w:tc>
      </w:tr>
      <w:tr>
        <w:tc>
          <w:tcPr>
            <w:tcW w:type="dxa" w:w="3312"/>
          </w:tcPr>
          <w:p>
            <w:r/>
            <w:r>
              <w:rPr>
                <w:sz w:val="20"/>
              </w:rPr>
              <w:t>Fees under LSA § 3.1; term § 12.1</w:t>
            </w:r>
          </w:p>
        </w:tc>
        <w:tc>
          <w:tcPr>
            <w:tcW w:type="dxa" w:w="2304"/>
          </w:tcPr>
          <w:p>
            <w:r/>
            <w:r>
              <w:rPr>
                <w:sz w:val="20"/>
              </w:rPr>
              <w:t>SUMF ¶¶ 6, 14</w:t>
            </w:r>
          </w:p>
        </w:tc>
        <w:tc>
          <w:tcPr>
            <w:tcW w:type="dxa" w:w="3744"/>
          </w:tcPr>
          <w:p>
            <w:r/>
            <w:r>
              <w:rPr>
                <w:sz w:val="20"/>
              </w:rPr>
              <w:t>Fees are § 5.1; the LSA has no Article 12 (term is § 2.1)</w:t>
            </w:r>
          </w:p>
        </w:tc>
      </w:tr>
    </w:tbl>
    <w:p/>
    <w:p>
      <w:pPr>
        <w:spacing w:after="120"/>
      </w:pPr>
      <w:r>
        <w:rPr>
          <w:i w:val="0"/>
        </w:rPr>
        <w:t>Response: In the LR 56 response to the SUMF, admit only what is accurately supported. Deny or qualify each mis-cited fact, and object under Rule 56(c)(2) that the cited material does not establish the fact. Several SUMF paragraphs help us and should be admitted and used affirmatively: ¶ 20 ("temporary repair"), ¶ 22 (no utility outages), ¶ 25 (no reports Nov.–Jan.), ¶¶ 36–37 (Venkatesh humidity findings; months of exposure; not a brief excursion), and ¶ 30 (visits were not § 4.5 inspections).</w:t>
      </w:r>
    </w:p>
    <w:p>
      <w:pPr>
        <w:pStyle w:val="Heading2"/>
      </w:pPr>
      <w:r>
        <w:t>Issue 8 — The Okafor Declaration Is Contradicted and Partly Inadmissible</w:t>
      </w:r>
    </w:p>
    <w:tbl>
      <w:tblPr>
        <w:tblStyle w:val="TableGrid"/>
        <w:tblW w:type="auto" w:w="0"/>
        <w:tblLook w:firstColumn="1" w:firstRow="1" w:lastColumn="0" w:lastRow="0" w:noHBand="0" w:noVBand="1" w:val="04A0"/>
      </w:tblPr>
      <w:tblGrid>
        <w:gridCol w:w="4680"/>
        <w:gridCol w:w="4680"/>
      </w:tblGrid>
      <w:tr>
        <w:tc>
          <w:tcPr>
            <w:tcW w:type="dxa" w:w="3744"/>
            <w:shd w:val="clear" w:color="auto" w:fill="D9E2F3"/>
          </w:tcPr>
          <w:p>
            <w:r/>
            <w:r>
              <w:rPr>
                <w:b/>
                <w:sz w:val="20"/>
              </w:rPr>
              <w:t>Okafor Declaration</w:t>
            </w:r>
          </w:p>
        </w:tc>
        <w:tc>
          <w:tcPr>
            <w:tcW w:type="dxa" w:w="5616"/>
            <w:shd w:val="clear" w:color="auto" w:fill="D9E2F3"/>
          </w:tcPr>
          <w:p>
            <w:r/>
            <w:r>
              <w:rPr>
                <w:b/>
                <w:sz w:val="20"/>
              </w:rPr>
              <w:t>Contradicting evidence</w:t>
            </w:r>
          </w:p>
        </w:tc>
      </w:tr>
      <w:tr>
        <w:tc>
          <w:tcPr>
            <w:tcW w:type="dxa" w:w="3744"/>
          </w:tcPr>
          <w:p>
            <w:r/>
            <w:r>
              <w:rPr>
                <w:sz w:val="20"/>
              </w:rPr>
              <w:t>¶ 5: repair rather than replace was a "reasonable and prudent operational decision"</w:t>
            </w:r>
          </w:p>
        </w:tc>
        <w:tc>
          <w:tcPr>
            <w:tcW w:type="dxa" w:w="5616"/>
          </w:tcPr>
          <w:p>
            <w:r/>
            <w:r>
              <w:rPr>
                <w:sz w:val="20"/>
              </w:rPr>
              <w:t>Aug. 9, 2022 email: "Replacement not in the budget until Q1 2023." The declaration does not mention it. Holt raised replacement 4–5 times; the answer was always "Not in the budget" (Dep. 43).</w:t>
            </w:r>
          </w:p>
        </w:tc>
      </w:tr>
      <w:tr>
        <w:tc>
          <w:tcPr>
            <w:tcW w:type="dxa" w:w="3744"/>
          </w:tcPr>
          <w:p>
            <w:r/>
            <w:r>
              <w:rPr>
                <w:sz w:val="20"/>
              </w:rPr>
              <w:t>¶ 3: backup ventilation and supplemental systems; "modern, well-maintained" facility</w:t>
            </w:r>
          </w:p>
        </w:tc>
        <w:tc>
          <w:tcPr>
            <w:tcW w:type="dxa" w:w="5616"/>
          </w:tcPr>
          <w:p>
            <w:r/>
            <w:r>
              <w:rPr>
                <w:sz w:val="20"/>
              </w:rPr>
              <w:t>No dehumidifiers or independent sensors on site (Holt Dep. 30, 83). Unit "old ... past its useful life" (Dep. 101). CIH saw patchwork repairs and fans only (¶ 3.7).</w:t>
            </w:r>
          </w:p>
        </w:tc>
      </w:tr>
      <w:tr>
        <w:tc>
          <w:tcPr>
            <w:tcW w:type="dxa" w:w="3744"/>
          </w:tcPr>
          <w:p>
            <w:r/>
            <w:r>
              <w:rPr>
                <w:sz w:val="20"/>
              </w:rPr>
              <w:t>¶ 6: "immediate corrective action"; October reading was "temporary and isolated"</w:t>
            </w:r>
          </w:p>
        </w:tc>
        <w:tc>
          <w:tcPr>
            <w:tcW w:type="dxa" w:w="5616"/>
          </w:tcPr>
          <w:p>
            <w:r/>
            <w:r>
              <w:rPr>
                <w:sz w:val="20"/>
              </w:rPr>
              <w:t>Holt log: "Called HVAC contractor, they can't come until next week" (8-day gap). Readings routinely in the upper 60s/70s Nov.–Jan. (Dep. 65). CIH: 72–85% in February.</w:t>
            </w:r>
          </w:p>
        </w:tc>
      </w:tr>
      <w:tr>
        <w:tc>
          <w:tcPr>
            <w:tcW w:type="dxa" w:w="3744"/>
          </w:tcPr>
          <w:p>
            <w:r/>
            <w:r>
              <w:rPr>
                <w:sz w:val="20"/>
              </w:rPr>
              <w:t>¶ 7: reports delayed for "calibration and maintenance issues"; no recollection of instructing withholding</w:t>
            </w:r>
          </w:p>
        </w:tc>
        <w:tc>
          <w:tcPr>
            <w:tcW w:type="dxa" w:w="5616"/>
          </w:tcPr>
          <w:p>
            <w:r/>
            <w:r>
              <w:rPr>
                <w:sz w:val="20"/>
              </w:rPr>
              <w:t>Holt: told to "hold off" because the numbers were bad; renewed instruction in December (Dep. 65–68, 99). Holt told Santos reports were "coming soon" and gave no calibration explanation. Asserting a specific reason is hard to square with "do not recall." Greenfield was never told of any calibration problem.</w:t>
            </w:r>
          </w:p>
        </w:tc>
      </w:tr>
      <w:tr>
        <w:tc>
          <w:tcPr>
            <w:tcW w:type="dxa" w:w="3744"/>
          </w:tcPr>
          <w:p>
            <w:r/>
            <w:r>
              <w:rPr>
                <w:sz w:val="20"/>
              </w:rPr>
              <w:t>¶ 4: heat "beyond anything our HVAC systems were designed to handle"; ¶ 11: no gross negligence</w:t>
            </w:r>
          </w:p>
        </w:tc>
        <w:tc>
          <w:tcPr>
            <w:tcW w:type="dxa" w:w="5616"/>
          </w:tcPr>
          <w:p>
            <w:r/>
            <w:r>
              <w:rPr>
                <w:sz w:val="20"/>
              </w:rPr>
              <w:t>Lay opinion on engineering causation, without foundation (FRE 701/702); ¶ 11 is a legal conclusion. Contradicted by NWS data (2–4°F) and by Venkatesh.</w:t>
            </w:r>
          </w:p>
        </w:tc>
      </w:tr>
      <w:tr>
        <w:tc>
          <w:tcPr>
            <w:tcW w:type="dxa" w:w="3744"/>
          </w:tcPr>
          <w:p>
            <w:r/>
            <w:r>
              <w:rPr>
                <w:sz w:val="20"/>
              </w:rPr>
              <w:t>¶ 1: oversees seven centers in GA/AL/SC</w:t>
            </w:r>
          </w:p>
        </w:tc>
        <w:tc>
          <w:tcPr>
            <w:tcW w:type="dxa" w:w="5616"/>
          </w:tcPr>
          <w:p>
            <w:r/>
            <w:r>
              <w:rPr>
                <w:sz w:val="20"/>
              </w:rPr>
              <w:t>Holt: she oversees Warner Robins "and, I believe, two other warehouses" (minor; goes to precision).</w:t>
            </w:r>
          </w:p>
        </w:tc>
      </w:tr>
    </w:tbl>
    <w:p/>
    <w:p>
      <w:pPr>
        <w:spacing w:after="120"/>
      </w:pPr>
      <w:r>
        <w:rPr>
          <w:i w:val="0"/>
        </w:rPr>
        <w:t>Because the Court may not weigh credibility at summary judgment (Anderson, 477 U.S. at 255, which Pinnacle cites), the direct conflict between Okafor and Holt over the budget decision, the withheld reports and the "isolated" October excursion is itself enough to create genuine disputes on force majeure, commercial reasonableness, mitigation, gross negligence and good faith. Okafor's deposition (cited at SUMF ¶ 26) should be pulled to check for inconsistencies with the declaration and for a possible sham-affidavit argument.</w:t>
      </w:r>
    </w:p>
    <w:p>
      <w:pPr>
        <w:pStyle w:val="Heading2"/>
      </w:pPr>
      <w:r>
        <w:t>Issue 9 — Evidence of Gross Negligence / Willful Misconduct (Removes Cap and Waiver)</w:t>
      </w:r>
    </w:p>
    <w:p>
      <w:pPr>
        <w:spacing w:after="120"/>
      </w:pPr>
      <w:r>
        <w:rPr>
          <w:i w:val="0"/>
        </w:rPr>
        <w:t>Pinnacle does not address this carve-out in §§ 7.1, 7.2(b) and 7.3. The record supports a jury finding:</w:t>
      </w:r>
    </w:p>
    <w:p>
      <w:pPr>
        <w:pStyle w:val="ListBullet"/>
        <w:spacing w:after="120"/>
      </w:pPr>
      <w:r>
        <w:rPr>
          <w:i w:val="0"/>
        </w:rPr>
        <w:t>Knowing refusal, for budget reasons, to replace a failing unit protecting about $4.7M of moisture-sensitive inventory after the facility manager warned in writing about humidity risk to "Greenfield's panels" (Aug. 9 email).</w:t>
      </w:r>
    </w:p>
    <w:p>
      <w:pPr>
        <w:pStyle w:val="ListBullet"/>
        <w:spacing w:after="120"/>
      </w:pPr>
      <w:r>
        <w:rPr>
          <w:i w:val="0"/>
        </w:rPr>
        <w:t>Deliberate suppression of three months of compliance reports because they would show non-compliance, with renewed instructions to keep withholding (Holt Dep. 65–68, 99).</w:t>
      </w:r>
    </w:p>
    <w:p>
      <w:pPr>
        <w:pStyle w:val="ListBullet"/>
        <w:spacing w:after="120"/>
      </w:pPr>
      <w:r>
        <w:rPr>
          <w:i w:val="0"/>
        </w:rPr>
        <w:t>Holt telling Santos the reports were "coming soon" while they were being withheld (Santos Dep. 33–38).</w:t>
      </w:r>
    </w:p>
    <w:p>
      <w:pPr>
        <w:pStyle w:val="ListBullet"/>
        <w:spacing w:after="120"/>
      </w:pPr>
      <w:r>
        <w:rPr>
          <w:i w:val="0"/>
        </w:rPr>
        <w:t>No notice of four separate HVAC events, including a complete failure with no climate control for at least 2.5–3 weeks (Holt Dep. 83–85), despite § 4.3 (24-hour notice) and Exhibit B ¶ 5.</w:t>
      </w:r>
    </w:p>
    <w:p>
      <w:pPr>
        <w:pStyle w:val="ListBullet"/>
        <w:spacing w:after="120"/>
      </w:pPr>
      <w:r>
        <w:rPr>
          <w:i w:val="0"/>
        </w:rPr>
        <w:t>No dehumidification at any point, and no approval of Holt's January request to rent dehumidifiers (Holt Dep. 83).</w:t>
      </w:r>
    </w:p>
    <w:p>
      <w:pPr>
        <w:spacing w:after="120"/>
      </w:pPr>
      <w:r>
        <w:rPr>
          <w:i w:val="0"/>
        </w:rPr>
        <w:t>The same evidence supports Count III (implied covenant), bad-faith litigation expenses under O.C.G.A. § 13-6-11, and potentially a fraudulent-concealment theory. Gross negligence and willfulness are ordinarily jury questions.</w:t>
      </w:r>
    </w:p>
    <w:p>
      <w:pPr>
        <w:pStyle w:val="Heading2"/>
      </w:pPr>
      <w:r>
        <w:t>Issue 10 — Gaps: Claims and Contract Provisions Pinnacle Does Not Address</w:t>
      </w:r>
    </w:p>
    <w:p>
      <w:pPr>
        <w:pStyle w:val="ListBullet"/>
        <w:spacing w:after="120"/>
      </w:pPr>
      <w:r>
        <w:rPr>
          <w:b/>
        </w:rPr>
        <w:t>No argument on breach.</w:t>
      </w:r>
      <w:r>
        <w:rPr>
          <w:i w:val="0"/>
        </w:rPr>
        <w:t xml:space="preserve"> Pinnacle concedes the HVAC issues ("does not dispute") and never argues that it complied with § 4.2. Its SUMF concedes the humidity exceedances and the missing reports. At most it seeks partial relief on damages; there is no basis for judgment on Count I.</w:t>
      </w:r>
    </w:p>
    <w:p>
      <w:pPr>
        <w:pStyle w:val="ListBullet"/>
        <w:spacing w:after="120"/>
      </w:pPr>
      <w:r>
        <w:rPr>
          <w:b/>
        </w:rPr>
        <w:t>Counts II and III.</w:t>
      </w:r>
      <w:r>
        <w:rPr>
          <w:i w:val="0"/>
        </w:rPr>
        <w:t xml:space="preserve"> The brief asks for judgment on all three counts but offers no element-by-element argument on negligence or the implied covenant. The good-faith claim is supported by the concealment evidence. Note: Pinnacle has not raised the economic loss rule or duplication between tort and contract claims; expect it on reply and be ready to show an independent duty (bailment, § 3.4 standard of care).</w:t>
      </w:r>
    </w:p>
    <w:p>
      <w:pPr>
        <w:pStyle w:val="ListBullet"/>
        <w:spacing w:after="120"/>
      </w:pPr>
      <w:r>
        <w:rPr>
          <w:b/>
        </w:rPr>
        <w:t>Ignored LSA provisions.</w:t>
      </w:r>
      <w:r>
        <w:rPr>
          <w:i w:val="0"/>
        </w:rPr>
        <w:t xml:space="preserve"> § 3.4 (industry standard of care for moisture-sensitive components); § 4.3 (backup climate control; 24-hour HVAC-failure notice; preventive maintenance records); § 4.4 (air-circulation spacing); § 9.1 (indemnification including attorneys' fees; uncapped per § 7.2(a)); § 10.2(c) (HVAC adequacy warranty); § 6.1(b) (replacement-value insurance); Exhibit B ¶¶ 5–7 (24-hour excursion notice; service credits; non-exclusive remedies). All of these are unaddressed.</w:t>
      </w:r>
    </w:p>
    <w:p>
      <w:pPr>
        <w:pStyle w:val="ListBullet"/>
        <w:spacing w:after="120"/>
      </w:pPr>
      <w:r>
        <w:rPr>
          <w:b/>
        </w:rPr>
        <w:t>Attorneys' fees.</w:t>
      </w:r>
      <w:r>
        <w:rPr>
          <w:i w:val="0"/>
        </w:rPr>
        <w:t xml:space="preserve"> § 9.1 expressly includes attorneys' fees for breach of §§ 4.1–4.6. The brief does not address Greenfield's contractual fee claim. Note the risk that a court reads § 9.1 as limited to third-party claims; research Georgia law on first-party indemnification before relying on it heavily.</w:t>
      </w:r>
    </w:p>
    <w:p>
      <w:pPr>
        <w:pStyle w:val="Heading1"/>
      </w:pPr>
      <w:r>
        <w:t>V. Medium- and Low-Priority Issues</w:t>
      </w:r>
    </w:p>
    <w:p>
      <w:pPr>
        <w:pStyle w:val="Heading2"/>
      </w:pPr>
      <w:r>
        <w:t>Issue 11 — Damages Challenges Raise Fact Disputes, Not Grounds for SJ</w:t>
      </w:r>
    </w:p>
    <w:p>
      <w:pPr>
        <w:pStyle w:val="ListBullet"/>
        <w:spacing w:after="120"/>
      </w:pPr>
      <w:r>
        <w:rPr>
          <w:b/>
        </w:rPr>
        <w:t>Overhead allocation.</w:t>
      </w:r>
      <w:r>
        <w:rPr>
          <w:i w:val="0"/>
        </w:rPr>
        <w:t xml:space="preserve"> Whether fixed overhead is excluded depends on the proper measure of damages for destroyed finished goods (market value or replacement cost versus variable cost). § 6.1(b) contemplates "full replacement value." Greenfield actually incurred replacement costs. Ellington's math is internally consistent in the declaration ($1,680 + $860.54 = $2,540.54; 1,850 × $1,680 = $3,108,000), but his three different figures undermine reliability. At most this is a dispute over the measure of damages for trial.</w:t>
      </w:r>
    </w:p>
    <w:p>
      <w:pPr>
        <w:pStyle w:val="ListBullet"/>
        <w:spacing w:after="120"/>
      </w:pPr>
      <w:r>
        <w:rPr>
          <w:b/>
        </w:rPr>
        <w:t>Salvage.</w:t>
      </w:r>
      <w:r>
        <w:rPr>
          <w:i w:val="0"/>
        </w:rPr>
        <w:t xml:space="preserve"> Venkatesh (with IICRC S520 and EPA support) says no panels were salvageable. That is a direct expert conflict, and summary judgment cannot resolve it.</w:t>
      </w:r>
    </w:p>
    <w:p>
      <w:pPr>
        <w:pStyle w:val="ListBullet"/>
        <w:spacing w:after="120"/>
      </w:pPr>
      <w:r>
        <w:rPr>
          <w:b/>
        </w:rPr>
        <w:t>Remediation ($385K).</w:t>
      </w:r>
      <w:r>
        <w:rPr>
          <w:i w:val="0"/>
        </w:rPr>
        <w:t xml:space="preserve"> The brief says remediation should fall with salvage; Ellington "do[es] not directly challenge the reasonableness" of the rates (Decl. ¶ 26). His reduced figures ($120K–$160K) depend entirely on his mitigation scenario.</w:t>
      </w:r>
    </w:p>
    <w:p>
      <w:pPr>
        <w:pStyle w:val="ListBullet"/>
        <w:spacing w:after="120"/>
      </w:pPr>
      <w:r>
        <w:rPr>
          <w:b/>
        </w:rPr>
        <w:t>Lost profits ($890K).</w:t>
      </w:r>
      <w:r>
        <w:rPr>
          <w:i w:val="0"/>
        </w:rPr>
        <w:t xml:space="preserve"> Waiver argument fails (Issue 2). "Reasonable certainty" is a fact question. Greenfield has three identified builder contracts (Tri-County, Peach State, Heritage Communities). The brief's claim that Greenfield's estimates rely on "historical averages and assumptions about customer retention" has no record citation.</w:t>
      </w:r>
    </w:p>
    <w:p>
      <w:pPr>
        <w:pStyle w:val="ListBullet"/>
        <w:spacing w:after="120"/>
      </w:pPr>
      <w:r>
        <w:rPr>
          <w:b/>
        </w:rPr>
        <w:t>Linden fees ($175K).</w:t>
      </w:r>
      <w:r>
        <w:rPr>
          <w:i w:val="0"/>
        </w:rPr>
        <w:t xml:space="preserve"> The brief cites O.C.G.A. § 13-6-5, which is Georgia's mitigation statute. The litigation-expense statute is § 13-6-11, and bad faith under it is supported by the concealment evidence. Fees may also be recoverable as "Losses" under § 9.1. Pre-suit investigation of cause is arguably a direct cost. (See also Issue 12 on the mitigation cite to § 13-6-8.)</w:t>
      </w:r>
    </w:p>
    <w:p>
      <w:pPr>
        <w:pStyle w:val="Heading2"/>
      </w:pPr>
      <w:r>
        <w:t>Issue 12 — Legal Authorities Requiring Verification</w:t>
      </w:r>
    </w:p>
    <w:p>
      <w:pPr>
        <w:spacing w:after="120"/>
      </w:pPr>
      <w:r>
        <w:rPr>
          <w:i w:val="0"/>
        </w:rPr>
        <w:t>Every authority should be cite-checked before the opposition is filed. Specific concerns:</w:t>
      </w:r>
    </w:p>
    <w:tbl>
      <w:tblPr>
        <w:tblStyle w:val="TableGrid"/>
        <w:tblW w:type="auto" w:w="0"/>
        <w:tblLook w:firstColumn="1" w:firstRow="1" w:lastColumn="0" w:lastRow="0" w:noHBand="0" w:noVBand="1" w:val="04A0"/>
      </w:tblPr>
      <w:tblGrid>
        <w:gridCol w:w="4680"/>
        <w:gridCol w:w="4680"/>
      </w:tblGrid>
      <w:tr>
        <w:tc>
          <w:tcPr>
            <w:tcW w:type="dxa" w:w="3456"/>
            <w:shd w:val="clear" w:color="auto" w:fill="D9E2F3"/>
          </w:tcPr>
          <w:p>
            <w:r/>
            <w:r>
              <w:rPr>
                <w:b/>
                <w:sz w:val="20"/>
              </w:rPr>
              <w:t>Authority as cited</w:t>
            </w:r>
          </w:p>
        </w:tc>
        <w:tc>
          <w:tcPr>
            <w:tcW w:type="dxa" w:w="5904"/>
            <w:shd w:val="clear" w:color="auto" w:fill="D9E2F3"/>
          </w:tcPr>
          <w:p>
            <w:r/>
            <w:r>
              <w:rPr>
                <w:b/>
                <w:sz w:val="20"/>
              </w:rPr>
              <w:t>Concern</w:t>
            </w:r>
          </w:p>
        </w:tc>
      </w:tr>
      <w:tr>
        <w:tc>
          <w:tcPr>
            <w:tcW w:type="dxa" w:w="3456"/>
          </w:tcPr>
          <w:p>
            <w:r/>
            <w:r>
              <w:rPr>
                <w:sz w:val="20"/>
              </w:rPr>
              <w:t>O.C.G.A. § 13-6-8 (cited as "Duty to Mitigate")</w:t>
            </w:r>
          </w:p>
        </w:tc>
        <w:tc>
          <w:tcPr>
            <w:tcW w:type="dxa" w:w="5904"/>
          </w:tcPr>
          <w:p>
            <w:r/>
            <w:r>
              <w:rPr>
                <w:sz w:val="20"/>
              </w:rPr>
              <w:t>Georgia's mitigation statute is § 13-6-5; § 13-6-8 concerns remote/consequential damages. Verify.</w:t>
            </w:r>
          </w:p>
        </w:tc>
      </w:tr>
      <w:tr>
        <w:tc>
          <w:tcPr>
            <w:tcW w:type="dxa" w:w="3456"/>
          </w:tcPr>
          <w:p>
            <w:r/>
            <w:r>
              <w:rPr>
                <w:sz w:val="20"/>
              </w:rPr>
              <w:t>O.C.G.A. § 13-6-5 (cited as "Litigation Expenses")</w:t>
            </w:r>
          </w:p>
        </w:tc>
        <w:tc>
          <w:tcPr>
            <w:tcW w:type="dxa" w:w="5904"/>
          </w:tcPr>
          <w:p>
            <w:r/>
            <w:r>
              <w:rPr>
                <w:sz w:val="20"/>
              </w:rPr>
              <w:t>Litigation expenses are § 13-6-11. The brief appears to have swapped statutes.</w:t>
            </w:r>
          </w:p>
        </w:tc>
      </w:tr>
      <w:tr>
        <w:tc>
          <w:tcPr>
            <w:tcW w:type="dxa" w:w="3456"/>
          </w:tcPr>
          <w:p>
            <w:r/>
            <w:r>
              <w:rPr>
                <w:sz w:val="20"/>
              </w:rPr>
              <w:t>O.C.G.A. § 11-2-715 (UCC Art. 2) — in the TOA</w:t>
            </w:r>
          </w:p>
        </w:tc>
        <w:tc>
          <w:tcPr>
            <w:tcW w:type="dxa" w:w="5904"/>
          </w:tcPr>
          <w:p>
            <w:r/>
            <w:r>
              <w:rPr>
                <w:sz w:val="20"/>
              </w:rPr>
              <w:t>Article 2 governs sales of goods; this is a warehousing/services contract. Article 7 (warehouse receipts; warehouse duty of care, § 11-7-204) may be relevant. Check whether § 7-204 helps us (the duty of reasonable care cannot be disclaimed). The statute also appears in the TOA without being argued in the body.</w:t>
            </w:r>
          </w:p>
        </w:tc>
      </w:tr>
      <w:tr>
        <w:tc>
          <w:tcPr>
            <w:tcW w:type="dxa" w:w="3456"/>
          </w:tcPr>
          <w:p>
            <w:r/>
            <w:r>
              <w:rPr>
                <w:sz w:val="20"/>
              </w:rPr>
              <w:t>S. Gen. Ins. Co. v. Holt, 262 Ga. 267 (1992)</w:t>
            </w:r>
          </w:p>
        </w:tc>
        <w:tc>
          <w:tcPr>
            <w:tcW w:type="dxa" w:w="5904"/>
          </w:tcPr>
          <w:p>
            <w:r/>
            <w:r>
              <w:rPr>
                <w:sz w:val="20"/>
              </w:rPr>
              <w:t>Understood to be an insurer failure-to-settle case, not apportionment under § 51-12-33 (which was substantially amended in 2005).</w:t>
            </w:r>
          </w:p>
        </w:tc>
      </w:tr>
      <w:tr>
        <w:tc>
          <w:tcPr>
            <w:tcW w:type="dxa" w:w="3456"/>
          </w:tcPr>
          <w:p>
            <w:r/>
            <w:r>
              <w:rPr>
                <w:sz w:val="20"/>
              </w:rPr>
              <w:t>Ga. Power Co. v. Roper, 201 Ga. App. 283 (1991)</w:t>
            </w:r>
          </w:p>
        </w:tc>
        <w:tc>
          <w:tcPr>
            <w:tcW w:type="dxa" w:w="5904"/>
          </w:tcPr>
          <w:p>
            <w:r/>
            <w:r>
              <w:rPr>
                <w:sz w:val="20"/>
              </w:rPr>
              <w:t>Confirm existence and holding. The "extreme weather = force majeure" parenthetical is suspect.</w:t>
            </w:r>
          </w:p>
        </w:tc>
      </w:tr>
      <w:tr>
        <w:tc>
          <w:tcPr>
            <w:tcW w:type="dxa" w:w="3456"/>
          </w:tcPr>
          <w:p>
            <w:r/>
            <w:r>
              <w:rPr>
                <w:sz w:val="20"/>
              </w:rPr>
              <w:t>Barton Protective Servs. v. Faber; Hardin Constr. Grp. v. Fuller Indus.; Royal Ins. Co. v. Crowne Invs., 903 F.2d 806; Toncee, Inc. v. Thomas; Denton v. Eaton Corp.</w:t>
            </w:r>
          </w:p>
        </w:tc>
        <w:tc>
          <w:tcPr>
            <w:tcW w:type="dxa" w:w="5904"/>
          </w:tcPr>
          <w:p>
            <w:r/>
            <w:r>
              <w:rPr>
                <w:sz w:val="20"/>
              </w:rPr>
              <w:t>Confirm reporters, pin cites, party names and holdings. Several reporter citations look inconsistent with our recollection of these cases. Even if accurate, clauses "freely negotiated" under general principles do not override the actual §§ 7.1–7.3 text.</w:t>
            </w:r>
          </w:p>
        </w:tc>
      </w:tr>
      <w:tr>
        <w:tc>
          <w:tcPr>
            <w:tcW w:type="dxa" w:w="3456"/>
          </w:tcPr>
          <w:p>
            <w:r/>
            <w:r>
              <w:rPr>
                <w:sz w:val="20"/>
              </w:rPr>
              <w:t>Restatement (Second) of Contracts § 350</w:t>
            </w:r>
          </w:p>
        </w:tc>
        <w:tc>
          <w:tcPr>
            <w:tcW w:type="dxa" w:w="5904"/>
          </w:tcPr>
          <w:p>
            <w:r/>
            <w:r>
              <w:rPr>
                <w:sz w:val="20"/>
              </w:rPr>
              <w:t>Consistent with § 7.4 but subject to its express concealment carve-out.</w:t>
            </w:r>
          </w:p>
        </w:tc>
      </w:tr>
    </w:tbl>
    <w:p/>
    <w:p>
      <w:pPr>
        <w:pStyle w:val="Heading2"/>
      </w:pPr>
      <w:r>
        <w:t>Issue 13 — Internal Inconsistencies (Credibility Points)</w:t>
      </w:r>
    </w:p>
    <w:p>
      <w:pPr>
        <w:pStyle w:val="ListBullet"/>
        <w:spacing w:after="120"/>
      </w:pPr>
      <w:r>
        <w:rPr>
          <w:i w:val="0"/>
        </w:rPr>
        <w:t>Renewal notice: 90 days (MSJ) vs. 180 days (SUMF ¶ 6; LSA § 2.1).</w:t>
      </w:r>
    </w:p>
    <w:p>
      <w:pPr>
        <w:pStyle w:val="ListBullet"/>
        <w:spacing w:after="120"/>
      </w:pPr>
      <w:r>
        <w:rPr>
          <w:i w:val="0"/>
        </w:rPr>
        <w:t>Second failure: August 8 (MSJ) vs. August 9 (SUMF ¶ 19; Holt; Okafor). Third repair "beginning in late September" (MSJ) vs. October 3 reading and October 11 temporary repair (SUMF ¶ 20).</w:t>
      </w:r>
    </w:p>
    <w:p>
      <w:pPr>
        <w:pStyle w:val="ListBullet"/>
        <w:spacing w:after="120"/>
      </w:pPr>
      <w:r>
        <w:rPr>
          <w:i w:val="0"/>
        </w:rPr>
        <w:t>The MSJ statement of facts leaves out the January 18, 2023 complete failure, which appears in SUMF ¶ 21.</w:t>
      </w:r>
    </w:p>
    <w:p>
      <w:pPr>
        <w:pStyle w:val="ListBullet"/>
        <w:spacing w:after="120"/>
      </w:pPr>
      <w:r>
        <w:rPr>
          <w:i w:val="0"/>
        </w:rPr>
        <w:t>Expert and witness names: "Dr. Raymond Ellington" vs. "Marcus"; "Dr. Anisha Venkatesh" (MSJ) vs. "Anita Venkatesh" (SUMF) vs. "Anita/Ananya Subramanian" (Okafor ¶ 10; Ellington Dep.); "Brian Holt" (SUMF) vs. Derek Holt.</w:t>
      </w:r>
    </w:p>
    <w:p>
      <w:pPr>
        <w:pStyle w:val="ListBullet"/>
        <w:spacing w:after="120"/>
      </w:pPr>
      <w:r>
        <w:rPr>
          <w:i w:val="0"/>
        </w:rPr>
        <w:t>Who was notified on Feb. 6: CEO Hargrove (MSJ) vs. GC Yun (SUMF ¶ 32; Santos Dep.).</w:t>
      </w:r>
    </w:p>
    <w:p>
      <w:pPr>
        <w:pStyle w:val="ListBullet"/>
        <w:spacing w:after="120"/>
      </w:pPr>
      <w:r>
        <w:rPr>
          <w:i w:val="0"/>
        </w:rPr>
        <w:t>Greenfield's $38M revenue figure is for FY2023 (after the loss) and is irrelevant to 2022 conduct.</w:t>
      </w:r>
    </w:p>
    <w:p>
      <w:pPr>
        <w:pStyle w:val="ListBullet"/>
        <w:spacing w:after="120"/>
      </w:pPr>
      <w:r>
        <w:rPr>
          <w:i w:val="0"/>
        </w:rPr>
        <w:t>Signature blocks: Overstreet bar no. 556732 / 558291 / 554821 and Nandakumar 782194 / 604817 / 719043 across the MSJ, SUMF and Okafor Decl.; firm phone numbers and our office address (195 vs. 191 Peachtree) also vary. These are not substantive, but useful to show a lack of care if the Court is weighing the brief's accuracy.</w:t>
      </w:r>
    </w:p>
    <w:p>
      <w:pPr>
        <w:pStyle w:val="ListBullet"/>
        <w:spacing w:after="120"/>
      </w:pPr>
      <w:r>
        <w:rPr>
          <w:i w:val="0"/>
        </w:rPr>
        <w:t>Counterclaim (SUMF ¶ 15): $30,000 in late fees on two invoices. § 5.3 allows $1,500 per month per invoice outstanding more than 45 days and requires prior written notice. Verify the computation and the notice. Exhibit B ¶ 7 service credits (5% of the monthly fee for each month after two or more consecutive months of non-compliance) and set-off should be pleaded.</w:t>
      </w:r>
    </w:p>
    <w:p>
      <w:pPr>
        <w:pStyle w:val="Heading1"/>
      </w:pPr>
      <w:r>
        <w:t>VI. Weaknesses in Our Own Record — Address Before Filing</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D9E2F3"/>
          </w:tcPr>
          <w:p>
            <w:r/>
            <w:r>
              <w:rPr>
                <w:b/>
                <w:sz w:val="20"/>
              </w:rPr>
              <w:t>Vulnerability</w:t>
            </w:r>
          </w:p>
        </w:tc>
        <w:tc>
          <w:tcPr>
            <w:tcW w:type="dxa" w:w="2592"/>
            <w:shd w:val="clear" w:color="auto" w:fill="D9E2F3"/>
          </w:tcPr>
          <w:p>
            <w:r/>
            <w:r>
              <w:rPr>
                <w:b/>
                <w:sz w:val="20"/>
              </w:rPr>
              <w:t>Risk</w:t>
            </w:r>
          </w:p>
        </w:tc>
        <w:tc>
          <w:tcPr>
            <w:tcW w:type="dxa" w:w="3888"/>
            <w:shd w:val="clear" w:color="auto" w:fill="D9E2F3"/>
          </w:tcPr>
          <w:p>
            <w:r/>
            <w:r>
              <w:rPr>
                <w:b/>
                <w:sz w:val="20"/>
              </w:rPr>
              <w:t>Recommended handling</w:t>
            </w:r>
          </w:p>
        </w:tc>
      </w:tr>
      <w:tr>
        <w:tc>
          <w:tcPr>
            <w:tcW w:type="dxa" w:w="2880"/>
          </w:tcPr>
          <w:p>
            <w:r/>
            <w:r>
              <w:rPr>
                <w:sz w:val="20"/>
              </w:rPr>
              <w:t>Holt's withholding testimony rests on uncorroborated phone calls; Holt admits that sending the reports was his job and that he told Santos they were coming</w:t>
            </w:r>
          </w:p>
        </w:tc>
        <w:tc>
          <w:tcPr>
            <w:tcW w:type="dxa" w:w="2592"/>
          </w:tcPr>
          <w:p>
            <w:r/>
            <w:r>
              <w:rPr>
                <w:sz w:val="20"/>
              </w:rPr>
              <w:t>Pinnacle will attack Holt as self-serving, shifting blame to Okafor</w:t>
            </w:r>
          </w:p>
        </w:tc>
        <w:tc>
          <w:tcPr>
            <w:tcW w:type="dxa" w:w="3888"/>
          </w:tcPr>
          <w:p>
            <w:r/>
            <w:r>
              <w:rPr>
                <w:sz w:val="20"/>
              </w:rPr>
              <w:t>The Aug. 9 email corroborates the pattern; Holt is a current Pinnacle employee testifying against interest. Seek phone records, Okafor emails and the "one or two more emails" Holt recalls. Credibility is for the jury either way.</w:t>
            </w:r>
          </w:p>
        </w:tc>
      </w:tr>
      <w:tr>
        <w:tc>
          <w:tcPr>
            <w:tcW w:type="dxa" w:w="2880"/>
          </w:tcPr>
          <w:p>
            <w:r/>
            <w:r>
              <w:rPr>
                <w:sz w:val="20"/>
              </w:rPr>
              <w:t>Greenfield never formally invoked § 4.5 during the three months without reports</w:t>
            </w:r>
          </w:p>
        </w:tc>
        <w:tc>
          <w:tcPr>
            <w:tcW w:type="dxa" w:w="2592"/>
          </w:tcPr>
          <w:p>
            <w:r/>
            <w:r>
              <w:rPr>
                <w:sz w:val="20"/>
              </w:rPr>
              <w:t>Most intuitive mitigation point for the Court</w:t>
            </w:r>
          </w:p>
        </w:tc>
        <w:tc>
          <w:tcPr>
            <w:tcW w:type="dxa" w:w="3888"/>
          </w:tcPr>
          <w:p>
            <w:r/>
            <w:r>
              <w:rPr>
                <w:sz w:val="20"/>
              </w:rPr>
              <w:t>Lead with §§ 4.2, 4.5 and 7.4 text; Santos's follow-ups; Holt's false "coming soon"; and earlier reports that falsely showed compliance.</w:t>
            </w:r>
          </w:p>
        </w:tc>
      </w:tr>
      <w:tr>
        <w:tc>
          <w:tcPr>
            <w:tcW w:type="dxa" w:w="2880"/>
          </w:tcPr>
          <w:p>
            <w:r/>
            <w:r>
              <w:rPr>
                <w:sz w:val="20"/>
              </w:rPr>
              <w:t>Venkatesh (CIH) opines on the $2,540.54 value and on expedited manufacturing costs (Rpt. §§ 6.1, 6.3)</w:t>
            </w:r>
          </w:p>
        </w:tc>
        <w:tc>
          <w:tcPr>
            <w:tcW w:type="dxa" w:w="2592"/>
          </w:tcPr>
          <w:p>
            <w:r/>
            <w:r>
              <w:rPr>
                <w:sz w:val="20"/>
              </w:rPr>
              <w:t>Mirror-image objection that she is outside her expertise</w:t>
            </w:r>
          </w:p>
        </w:tc>
        <w:tc>
          <w:tcPr>
            <w:tcW w:type="dxa" w:w="3888"/>
          </w:tcPr>
          <w:p>
            <w:r/>
            <w:r>
              <w:rPr>
                <w:sz w:val="20"/>
              </w:rPr>
              <w:t>Limit her use to causation and salvageability; support valuation through a damages witness or Greenfield's cost records.</w:t>
            </w:r>
          </w:p>
        </w:tc>
      </w:tr>
      <w:tr>
        <w:tc>
          <w:tcPr>
            <w:tcW w:type="dxa" w:w="2880"/>
          </w:tcPr>
          <w:p>
            <w:r/>
            <w:r>
              <w:rPr>
                <w:sz w:val="20"/>
              </w:rPr>
              <w:t>Venkatesh states that Zones C and D total about 48,000 sq. ft.; LSA Ex. A says Zone C alone is 48,000 and C+D is 90,000. She lists Hargrove as "VP of Operations" (he is CEO) and reports reviewed from Jan. 2022 (SUMF: from Jan. 2021)</w:t>
            </w:r>
          </w:p>
        </w:tc>
        <w:tc>
          <w:tcPr>
            <w:tcW w:type="dxa" w:w="2592"/>
          </w:tcPr>
          <w:p>
            <w:r/>
            <w:r>
              <w:rPr>
                <w:sz w:val="20"/>
              </w:rPr>
              <w:t>Impeachment material</w:t>
            </w:r>
          </w:p>
        </w:tc>
        <w:tc>
          <w:tcPr>
            <w:tcW w:type="dxa" w:w="3888"/>
          </w:tcPr>
          <w:p>
            <w:r/>
            <w:r>
              <w:rPr>
                <w:sz w:val="20"/>
              </w:rPr>
              <w:t>Errata or supplemental report; check whether any calculation depends on square footage.</w:t>
            </w:r>
          </w:p>
        </w:tc>
      </w:tr>
      <w:tr>
        <w:tc>
          <w:tcPr>
            <w:tcW w:type="dxa" w:w="2880"/>
          </w:tcPr>
          <w:p>
            <w:r/>
            <w:r>
              <w:rPr>
                <w:sz w:val="20"/>
              </w:rPr>
              <w:t>Name confusion for our expert (Venkatesh vs. Subramanian; the file is labeled "subramanian"); unusual Ph.D. institution ("Cromdale Consulting State University")</w:t>
            </w:r>
          </w:p>
        </w:tc>
        <w:tc>
          <w:tcPr>
            <w:tcW w:type="dxa" w:w="2592"/>
          </w:tcPr>
          <w:p>
            <w:r/>
            <w:r>
              <w:rPr>
                <w:sz w:val="20"/>
              </w:rPr>
              <w:t>Confusion in our own papers; credential attack</w:t>
            </w:r>
          </w:p>
        </w:tc>
        <w:tc>
          <w:tcPr>
            <w:tcW w:type="dxa" w:w="3888"/>
          </w:tcPr>
          <w:p>
            <w:r/>
            <w:r>
              <w:rPr>
                <w:sz w:val="20"/>
              </w:rPr>
              <w:t>Confirm correct name and credentials with the expert; use them consistently.</w:t>
            </w:r>
          </w:p>
        </w:tc>
      </w:tr>
      <w:tr>
        <w:tc>
          <w:tcPr>
            <w:tcW w:type="dxa" w:w="2880"/>
          </w:tcPr>
          <w:p>
            <w:r/>
            <w:r>
              <w:rPr>
                <w:sz w:val="20"/>
              </w:rPr>
              <w:t>LSA Ex. A says Zone C is also served by HVAC Unit 2; Holt says Unit 3 was the only unit for C and D</w:t>
            </w:r>
          </w:p>
        </w:tc>
        <w:tc>
          <w:tcPr>
            <w:tcW w:type="dxa" w:w="2592"/>
          </w:tcPr>
          <w:p>
            <w:r/>
            <w:r>
              <w:rPr>
                <w:sz w:val="20"/>
              </w:rPr>
              <w:t>Pinnacle may argue partial climate control existed</w:t>
            </w:r>
          </w:p>
        </w:tc>
        <w:tc>
          <w:tcPr>
            <w:tcW w:type="dxa" w:w="3888"/>
          </w:tcPr>
          <w:p>
            <w:r/>
            <w:r>
              <w:rPr>
                <w:sz w:val="20"/>
              </w:rPr>
              <w:t>Could cut for us (Pinnacle failed to use Unit 2 or deploy backup under § 4.3). Clarify facts.</w:t>
            </w:r>
          </w:p>
        </w:tc>
      </w:tr>
      <w:tr>
        <w:tc>
          <w:tcPr>
            <w:tcW w:type="dxa" w:w="2880"/>
          </w:tcPr>
          <w:p>
            <w:r/>
            <w:r>
              <w:rPr>
                <w:sz w:val="20"/>
              </w:rPr>
              <w:t>Linden was retained through Whitfield &amp; Crane (Venkatesh ¶ 1.1)</w:t>
            </w:r>
          </w:p>
        </w:tc>
        <w:tc>
          <w:tcPr>
            <w:tcW w:type="dxa" w:w="2592"/>
          </w:tcPr>
          <w:p>
            <w:r/>
            <w:r>
              <w:rPr>
                <w:sz w:val="20"/>
              </w:rPr>
              <w:t>Supports Pinnacle's argument that the $175K is a litigation expense</w:t>
            </w:r>
          </w:p>
        </w:tc>
        <w:tc>
          <w:tcPr>
            <w:tcW w:type="dxa" w:w="3888"/>
          </w:tcPr>
          <w:p>
            <w:r/>
            <w:r>
              <w:rPr>
                <w:sz w:val="20"/>
              </w:rPr>
              <w:t>Rely on § 13-6-11 bad faith and § 9.1 "Losses"; consider whether any portion was pre-suit remediation scoping.</w:t>
            </w:r>
          </w:p>
        </w:tc>
      </w:tr>
      <w:tr>
        <w:tc>
          <w:tcPr>
            <w:tcW w:type="dxa" w:w="2880"/>
          </w:tcPr>
          <w:p>
            <w:r/>
            <w:r>
              <w:rPr>
                <w:sz w:val="20"/>
              </w:rPr>
              <w:t>Ellington: $180K of expedited shipping went to unrelated AL/FL projects; routine overtime; lost profits overlap with expedited manufacturing</w:t>
            </w:r>
          </w:p>
        </w:tc>
        <w:tc>
          <w:tcPr>
            <w:tcW w:type="dxa" w:w="2592"/>
          </w:tcPr>
          <w:p>
            <w:r/>
            <w:r>
              <w:rPr>
                <w:sz w:val="20"/>
              </w:rPr>
              <w:t>Reduces credibility of the $1.15M and $890K figures</w:t>
            </w:r>
          </w:p>
        </w:tc>
        <w:tc>
          <w:tcPr>
            <w:tcW w:type="dxa" w:w="3888"/>
          </w:tcPr>
          <w:p>
            <w:r/>
            <w:r>
              <w:rPr>
                <w:sz w:val="20"/>
              </w:rPr>
              <w:t>Audit the invoices now. Concede any unrelated amounts, and reconcile the delay period with the replacement timeline.</w:t>
            </w:r>
          </w:p>
        </w:tc>
      </w:tr>
      <w:tr>
        <w:tc>
          <w:tcPr>
            <w:tcW w:type="dxa" w:w="2880"/>
          </w:tcPr>
          <w:p>
            <w:r/>
            <w:r>
              <w:rPr>
                <w:sz w:val="20"/>
              </w:rPr>
              <w:t>Greenfield withheld $310K in fees (counterclaim)</w:t>
            </w:r>
          </w:p>
        </w:tc>
        <w:tc>
          <w:tcPr>
            <w:tcW w:type="dxa" w:w="2592"/>
          </w:tcPr>
          <w:p>
            <w:r/>
            <w:r>
              <w:rPr>
                <w:sz w:val="20"/>
              </w:rPr>
              <w:t>Equities</w:t>
            </w:r>
          </w:p>
        </w:tc>
        <w:tc>
          <w:tcPr>
            <w:tcW w:type="dxa" w:w="3888"/>
          </w:tcPr>
          <w:p>
            <w:r/>
            <w:r>
              <w:rPr>
                <w:sz w:val="20"/>
              </w:rPr>
              <w:t>Frame as set-off and service credits (Ex. B ¶ 7) and a response to material breach.</w:t>
            </w:r>
          </w:p>
        </w:tc>
      </w:tr>
      <w:tr>
        <w:tc>
          <w:tcPr>
            <w:tcW w:type="dxa" w:w="2880"/>
          </w:tcPr>
          <w:p>
            <w:r/>
            <w:r>
              <w:rPr>
                <w:sz w:val="20"/>
              </w:rPr>
              <w:t>§ 9.1 indemnity may be read as covering only third-party claims</w:t>
            </w:r>
          </w:p>
        </w:tc>
        <w:tc>
          <w:tcPr>
            <w:tcW w:type="dxa" w:w="2592"/>
          </w:tcPr>
          <w:p>
            <w:r/>
            <w:r>
              <w:rPr>
                <w:sz w:val="20"/>
              </w:rPr>
              <w:t>Weakens the uncapped-fees argument</w:t>
            </w:r>
          </w:p>
        </w:tc>
        <w:tc>
          <w:tcPr>
            <w:tcW w:type="dxa" w:w="3888"/>
          </w:tcPr>
          <w:p>
            <w:r/>
            <w:r>
              <w:rPr>
                <w:sz w:val="20"/>
              </w:rPr>
              <w:t>Use as an alternative argument; lead with § 7.2(d) and the $2M floor.</w:t>
            </w:r>
          </w:p>
        </w:tc>
      </w:tr>
    </w:tbl>
    <w:p/>
    <w:p>
      <w:pPr>
        <w:pStyle w:val="Heading1"/>
      </w:pPr>
      <w:r>
        <w:t>VII. Recommended Action Items</w:t>
      </w:r>
    </w:p>
    <w:p>
      <w:pPr>
        <w:spacing w:after="120"/>
      </w:pPr>
      <w:r>
        <w:rPr>
          <w:b/>
        </w:rPr>
        <w:t xml:space="preserve">1. </w:t>
      </w:r>
      <w:r>
        <w:rPr>
          <w:i w:val="0"/>
        </w:rPr>
        <w:t>Confirm that the LSA we reviewed is the final executed version (signed copies from the client). Compare it with whatever version Pinnacle filed with the Overstreet Declaration. If the versions differ, the version dispute is itself a genuine issue of material fact.</w:t>
      </w:r>
    </w:p>
    <w:p>
      <w:pPr>
        <w:spacing w:after="120"/>
      </w:pPr>
      <w:r>
        <w:rPr>
          <w:b/>
        </w:rPr>
        <w:t xml:space="preserve">2. </w:t>
      </w:r>
      <w:r>
        <w:rPr>
          <w:i w:val="0"/>
        </w:rPr>
        <w:t>Calendar the opposition deadline (M.D. Ga. LR 7.2: 21 days from service, verify) and consider a consent extension given the volume of objections.</w:t>
      </w:r>
    </w:p>
    <w:p>
      <w:pPr>
        <w:spacing w:after="120"/>
      </w:pPr>
      <w:r>
        <w:rPr>
          <w:b/>
        </w:rPr>
        <w:t xml:space="preserve">3. </w:t>
      </w:r>
      <w:r>
        <w:rPr>
          <w:i w:val="0"/>
        </w:rPr>
        <w:t>Prepare the LR 56 response to all 45 SUMF paragraphs and a separate statement of additional material facts (Aug. 9 email, Ex. 19 log, withheld reports, no FM notice, no dehumidifiers, § 7.2(d) and § 6.1(b), Santos follow-ups).</w:t>
      </w:r>
    </w:p>
    <w:p>
      <w:pPr>
        <w:spacing w:after="120"/>
      </w:pPr>
      <w:r>
        <w:rPr>
          <w:b/>
        </w:rPr>
        <w:t xml:space="preserve">4. </w:t>
      </w:r>
      <w:r>
        <w:rPr>
          <w:i w:val="0"/>
        </w:rPr>
        <w:t>File the Rule 56(c)(2) objections: unfiled Hargrove testimony; mis-cited paragraphs; Okafor lay causation opinions and legal conclusions; Ellington opinions beyond his expertise.</w:t>
      </w:r>
    </w:p>
    <w:p>
      <w:pPr>
        <w:spacing w:after="120"/>
      </w:pPr>
      <w:r>
        <w:rPr>
          <w:b/>
        </w:rPr>
        <w:t xml:space="preserve">5. </w:t>
      </w:r>
      <w:r>
        <w:rPr>
          <w:i w:val="0"/>
        </w:rPr>
        <w:t>File a Rule 702 motion directed at Ellington (salvage, mitigation, legal characterizations), using his deposition concessions and inconsistencies.</w:t>
      </w:r>
    </w:p>
    <w:p>
      <w:pPr>
        <w:spacing w:after="120"/>
      </w:pPr>
      <w:r>
        <w:rPr>
          <w:b/>
        </w:rPr>
        <w:t xml:space="preserve">6. </w:t>
      </w:r>
      <w:r>
        <w:rPr>
          <w:i w:val="0"/>
        </w:rPr>
        <w:t>Make sure Exhibits 14 (Aug. 9 email) and 19 (Holt handwritten log), the Blackthorn invoices, Georgia Power records and the NWS data are in the opposition record with authenticating declarations.</w:t>
      </w:r>
    </w:p>
    <w:p>
      <w:pPr>
        <w:spacing w:after="120"/>
      </w:pPr>
      <w:r>
        <w:rPr>
          <w:b/>
        </w:rPr>
        <w:t xml:space="preserve">7. </w:t>
      </w:r>
      <w:r>
        <w:rPr>
          <w:i w:val="0"/>
        </w:rPr>
        <w:t>Obtain and review the full Okafor, Hargrove and Yun transcripts, the October 2022 compliance report (did it disclose 78%?), and the June–October reports against building sensor data (were they inaccurate?).</w:t>
      </w:r>
    </w:p>
    <w:p>
      <w:pPr>
        <w:spacing w:after="120"/>
      </w:pPr>
      <w:r>
        <w:rPr>
          <w:b/>
        </w:rPr>
        <w:t xml:space="preserve">8. </w:t>
      </w:r>
      <w:r>
        <w:rPr>
          <w:i w:val="0"/>
        </w:rPr>
        <w:t>Cite-check every authority in Pinnacle's brief (Issue 12) and build affirmative Georgia authority on: strict construction of limitation clauses; gross negligence as a jury question; mitigation not requiring discovery of concealed breach; force majeure notice as a condition precedent; § 51-12-33 inapplicable to contract claims; burden on the movant for affirmative defenses.</w:t>
      </w:r>
    </w:p>
    <w:p>
      <w:pPr>
        <w:spacing w:after="120"/>
      </w:pPr>
      <w:r>
        <w:rPr>
          <w:b/>
        </w:rPr>
        <w:t xml:space="preserve">9. </w:t>
      </w:r>
      <w:r>
        <w:rPr>
          <w:i w:val="0"/>
        </w:rPr>
        <w:t>Cure our own record issues (Section VI) through expert errata or supplementation, if the deadlines allow.</w:t>
      </w:r>
    </w:p>
    <w:p>
      <w:pPr>
        <w:spacing w:after="120"/>
      </w:pPr>
      <w:r>
        <w:rPr>
          <w:b/>
        </w:rPr>
        <w:t xml:space="preserve">10. </w:t>
      </w:r>
      <w:r>
        <w:rPr>
          <w:i w:val="0"/>
        </w:rPr>
        <w:t>Consider a Rule 11 / candor letter about the misquoted contract provisions, but only after step 1 confirms there is no version dispute.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