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962323"/>
          <w:sz w:val="18"/>
        </w:rPr>
        <w:t>PRIVILEGED &amp; CONFIDENTIAL</w:t>
      </w:r>
    </w:p>
    <w:p>
      <w:pPr>
        <w:spacing w:after="240"/>
        <w:jc w:val="center"/>
      </w:pPr>
      <w:r>
        <w:rPr>
          <w:rFonts w:ascii="Arial" w:hAnsi="Arial"/>
          <w:b/>
          <w:color w:val="5A646E"/>
          <w:sz w:val="16"/>
        </w:rPr>
        <w:t>ATTORNEY-CLIENT COMMUNICATION  |  ATTORNEY WORK PRODUCT</w:t>
      </w:r>
    </w:p>
    <w:p>
      <w:pPr>
        <w:pStyle w:val="Title"/>
        <w:jc w:val="center"/>
      </w:pPr>
      <w:r>
        <w:t>LITIGATION HOLD &amp; PRESERVATION</w:t>
        <w:br/>
        <w:t>COORDINATION MEMORANDUM</w:t>
      </w:r>
    </w:p>
    <w:tbl>
      <w:tblPr>
        <w:tblW w:type="auto" w:w="0"/>
        <w:jc w:val="center"/>
        <w:tblLayout w:type="fixed"/>
        <w:tblLook w:firstColumn="1" w:firstRow="1" w:lastColumn="0" w:lastRow="0" w:noHBand="0" w:noVBand="1" w:val="04A0"/>
      </w:tblPr>
      <w:tblGrid>
        <w:gridCol w:w="4997"/>
        <w:gridCol w:w="4997"/>
      </w:tblGrid>
      <w:tr>
        <w:tc>
          <w:tcPr>
            <w:tcW w:type="dxa" w:w="1152"/>
            <w:vAlign w:val="top"/>
            <w:tcMar>
              <w:top w:w="60" w:type="dxa"/>
              <w:start w:w="90" w:type="dxa"/>
              <w:bottom w:w="60" w:type="dxa"/>
              <w:end w:w="90" w:type="dxa"/>
            </w:tcMar>
            <w:shd w:fill="E8EEF5"/>
          </w:tcPr>
          <w:p>
            <w:pPr>
              <w:widowControl/>
              <w:spacing w:after="0" w:line="240" w:lineRule="auto"/>
            </w:pPr>
            <w:r>
              <w:rPr>
                <w:rFonts w:ascii="Arial" w:hAnsi="Arial"/>
              </w:rPr>
            </w:r>
            <w:r>
              <w:rPr>
                <w:rFonts w:ascii="Arial" w:hAnsi="Arial"/>
                <w:b/>
                <w:color w:val="17365D"/>
                <w:sz w:val="17"/>
              </w:rPr>
              <w:t>TO</w:t>
            </w:r>
          </w:p>
        </w:tc>
        <w:tc>
          <w:tcPr>
            <w:tcW w:type="dxa" w:w="9288"/>
            <w:vAlign w:val="top"/>
            <w:tcMar>
              <w:top w:w="60" w:type="dxa"/>
              <w:start w:w="90" w:type="dxa"/>
              <w:bottom w:w="60" w:type="dxa"/>
              <w:end w:w="90" w:type="dxa"/>
            </w:tcMar>
          </w:tcPr>
          <w:p>
            <w:pPr>
              <w:widowControl/>
              <w:spacing w:after="0" w:line="240" w:lineRule="auto"/>
            </w:pPr>
            <w:r>
              <w:rPr>
                <w:rFonts w:ascii="Arial" w:hAnsi="Arial"/>
              </w:rPr>
            </w:r>
            <w:r>
              <w:rPr>
                <w:rFonts w:ascii="Arial" w:hAnsi="Arial"/>
                <w:b w:val="0"/>
                <w:color w:val="232A32"/>
                <w:sz w:val="17"/>
              </w:rPr>
              <w:t>Monica Tran-Nguyen, General Counsel</w:t>
              <w:br/>
              <w:t>Sarah Drummond, Partner, Pinnacle Hartwell LLP (outside defense counsel)</w:t>
            </w:r>
          </w:p>
        </w:tc>
      </w:tr>
      <w:tr>
        <w:tc>
          <w:tcPr>
            <w:tcW w:type="dxa" w:w="1152"/>
            <w:vAlign w:val="top"/>
            <w:tcMar>
              <w:top w:w="60" w:type="dxa"/>
              <w:start w:w="90" w:type="dxa"/>
              <w:bottom w:w="60" w:type="dxa"/>
              <w:end w:w="90" w:type="dxa"/>
            </w:tcMar>
            <w:shd w:fill="E8EEF5"/>
          </w:tcPr>
          <w:p>
            <w:pPr>
              <w:widowControl/>
              <w:spacing w:after="0" w:line="240" w:lineRule="auto"/>
            </w:pPr>
            <w:r>
              <w:rPr>
                <w:rFonts w:ascii="Arial" w:hAnsi="Arial"/>
              </w:rPr>
            </w:r>
            <w:r>
              <w:rPr>
                <w:rFonts w:ascii="Arial" w:hAnsi="Arial"/>
                <w:b/>
                <w:color w:val="17365D"/>
                <w:sz w:val="17"/>
              </w:rPr>
              <w:t>FROM</w:t>
            </w:r>
          </w:p>
        </w:tc>
        <w:tc>
          <w:tcPr>
            <w:tcW w:type="dxa" w:w="9288"/>
            <w:vAlign w:val="top"/>
            <w:tcMar>
              <w:top w:w="60" w:type="dxa"/>
              <w:start w:w="90" w:type="dxa"/>
              <w:bottom w:w="60" w:type="dxa"/>
              <w:end w:w="90" w:type="dxa"/>
            </w:tcMar>
          </w:tcPr>
          <w:p>
            <w:pPr>
              <w:widowControl/>
              <w:spacing w:after="0" w:line="240" w:lineRule="auto"/>
            </w:pPr>
            <w:r>
              <w:rPr>
                <w:rFonts w:ascii="Arial" w:hAnsi="Arial"/>
              </w:rPr>
            </w:r>
            <w:r>
              <w:rPr>
                <w:rFonts w:ascii="Arial" w:hAnsi="Arial"/>
                <w:b w:val="0"/>
                <w:color w:val="232A32"/>
                <w:sz w:val="17"/>
              </w:rPr>
              <w:t>Kevin Brashear, Associate General Counsel</w:t>
            </w:r>
          </w:p>
        </w:tc>
      </w:tr>
      <w:tr>
        <w:tc>
          <w:tcPr>
            <w:tcW w:type="dxa" w:w="1152"/>
            <w:vAlign w:val="top"/>
            <w:tcMar>
              <w:top w:w="60" w:type="dxa"/>
              <w:start w:w="90" w:type="dxa"/>
              <w:bottom w:w="60" w:type="dxa"/>
              <w:end w:w="90" w:type="dxa"/>
            </w:tcMar>
            <w:shd w:fill="E8EEF5"/>
          </w:tcPr>
          <w:p>
            <w:pPr>
              <w:widowControl/>
              <w:spacing w:after="0" w:line="240" w:lineRule="auto"/>
            </w:pPr>
            <w:r>
              <w:rPr>
                <w:rFonts w:ascii="Arial" w:hAnsi="Arial"/>
              </w:rPr>
            </w:r>
            <w:r>
              <w:rPr>
                <w:rFonts w:ascii="Arial" w:hAnsi="Arial"/>
                <w:b/>
                <w:color w:val="17365D"/>
                <w:sz w:val="17"/>
              </w:rPr>
              <w:t>DATE</w:t>
            </w:r>
          </w:p>
        </w:tc>
        <w:tc>
          <w:tcPr>
            <w:tcW w:type="dxa" w:w="9288"/>
            <w:vAlign w:val="top"/>
            <w:tcMar>
              <w:top w:w="60" w:type="dxa"/>
              <w:start w:w="90" w:type="dxa"/>
              <w:bottom w:w="60" w:type="dxa"/>
              <w:end w:w="90" w:type="dxa"/>
            </w:tcMar>
          </w:tcPr>
          <w:p>
            <w:pPr>
              <w:widowControl/>
              <w:spacing w:after="0" w:line="240" w:lineRule="auto"/>
            </w:pPr>
            <w:r>
              <w:rPr>
                <w:rFonts w:ascii="Arial" w:hAnsi="Arial"/>
              </w:rPr>
            </w:r>
            <w:r>
              <w:rPr>
                <w:rFonts w:ascii="Arial" w:hAnsi="Arial"/>
                <w:b w:val="0"/>
                <w:color w:val="232A32"/>
                <w:sz w:val="17"/>
              </w:rPr>
              <w:t>November 8, 2024</w:t>
            </w:r>
          </w:p>
        </w:tc>
      </w:tr>
      <w:tr>
        <w:tc>
          <w:tcPr>
            <w:tcW w:type="dxa" w:w="1152"/>
            <w:vAlign w:val="top"/>
            <w:tcMar>
              <w:top w:w="60" w:type="dxa"/>
              <w:start w:w="90" w:type="dxa"/>
              <w:bottom w:w="60" w:type="dxa"/>
              <w:end w:w="90" w:type="dxa"/>
            </w:tcMar>
            <w:shd w:fill="E8EEF5"/>
          </w:tcPr>
          <w:p>
            <w:pPr>
              <w:widowControl/>
              <w:spacing w:after="0" w:line="240" w:lineRule="auto"/>
            </w:pPr>
            <w:r>
              <w:rPr>
                <w:rFonts w:ascii="Arial" w:hAnsi="Arial"/>
              </w:rPr>
            </w:r>
            <w:r>
              <w:rPr>
                <w:rFonts w:ascii="Arial" w:hAnsi="Arial"/>
                <w:b/>
                <w:color w:val="17365D"/>
                <w:sz w:val="17"/>
              </w:rPr>
              <w:t>RE</w:t>
            </w:r>
          </w:p>
        </w:tc>
        <w:tc>
          <w:tcPr>
            <w:tcW w:type="dxa" w:w="9288"/>
            <w:vAlign w:val="top"/>
            <w:tcMar>
              <w:top w:w="60" w:type="dxa"/>
              <w:start w:w="90" w:type="dxa"/>
              <w:bottom w:w="60" w:type="dxa"/>
              <w:end w:w="90" w:type="dxa"/>
            </w:tcMar>
          </w:tcPr>
          <w:p>
            <w:pPr>
              <w:widowControl/>
              <w:spacing w:after="0" w:line="240" w:lineRule="auto"/>
            </w:pPr>
            <w:r>
              <w:rPr>
                <w:rFonts w:ascii="Arial" w:hAnsi="Arial"/>
              </w:rPr>
            </w:r>
            <w:r>
              <w:rPr>
                <w:rFonts w:ascii="Arial" w:hAnsi="Arial"/>
                <w:b w:val="0"/>
                <w:color w:val="232A32"/>
                <w:sz w:val="17"/>
              </w:rPr>
              <w:t>Darren T. Kovach employment claims and SEC Division of Enforcement informal inquiry</w:t>
            </w:r>
          </w:p>
        </w:tc>
      </w:tr>
      <w:tr>
        <w:tc>
          <w:tcPr>
            <w:tcW w:type="dxa" w:w="1152"/>
            <w:vAlign w:val="top"/>
            <w:tcMar>
              <w:top w:w="60" w:type="dxa"/>
              <w:start w:w="90" w:type="dxa"/>
              <w:bottom w:w="60" w:type="dxa"/>
              <w:end w:w="90" w:type="dxa"/>
            </w:tcMar>
            <w:shd w:fill="E8EEF5"/>
          </w:tcPr>
          <w:p>
            <w:pPr>
              <w:widowControl/>
              <w:spacing w:after="0" w:line="240" w:lineRule="auto"/>
            </w:pPr>
            <w:r>
              <w:rPr>
                <w:rFonts w:ascii="Arial" w:hAnsi="Arial"/>
              </w:rPr>
            </w:r>
            <w:r>
              <w:rPr>
                <w:rFonts w:ascii="Arial" w:hAnsi="Arial"/>
                <w:b/>
                <w:color w:val="17365D"/>
                <w:sz w:val="17"/>
              </w:rPr>
              <w:t>STATUS</w:t>
            </w:r>
          </w:p>
        </w:tc>
        <w:tc>
          <w:tcPr>
            <w:tcW w:type="dxa" w:w="9288"/>
            <w:vAlign w:val="top"/>
            <w:tcMar>
              <w:top w:w="60" w:type="dxa"/>
              <w:start w:w="90" w:type="dxa"/>
              <w:bottom w:w="60" w:type="dxa"/>
              <w:end w:w="90" w:type="dxa"/>
            </w:tcMar>
          </w:tcPr>
          <w:p>
            <w:pPr>
              <w:widowControl/>
              <w:spacing w:after="0" w:line="240" w:lineRule="auto"/>
            </w:pPr>
            <w:r>
              <w:rPr>
                <w:rFonts w:ascii="Arial" w:hAnsi="Arial"/>
              </w:rPr>
            </w:r>
            <w:r>
              <w:rPr>
                <w:rFonts w:ascii="Arial" w:hAnsi="Arial"/>
                <w:b w:val="0"/>
                <w:color w:val="232A32"/>
                <w:sz w:val="17"/>
              </w:rPr>
              <w:t>Action memorandum for immediate implementation; not a substitute for custodian-specific hold notices</w:t>
            </w:r>
          </w:p>
        </w:tc>
      </w:tr>
    </w:tbl>
    <w:p/>
    <w:p>
      <w:pPr>
        <w:pStyle w:val="Heading1"/>
      </w:pPr>
      <w:r>
        <w:t>Executive Summary and Immediate Direction</w:t>
      </w:r>
    </w:p>
    <w:p>
      <w:r>
        <w:rPr>
          <w:i w:val="0"/>
        </w:rPr>
        <w:t>Nexfield should issue one coordinated preservation hold immediately covering (1) Darren T. Kovach’s threatened whistleblower-retaliation / wrongful-termination claims and (2) the SEC Division of Enforcement’s October 28, 2024 informal inquiry into channel sales and revenue recognition. The factual overlap is substantial, but the two matters must remain separately tracked for scope, access, privilege review, and any production decisions. The hold should cover the common revenue-recognition evidence and the distinct employment, Audit Committee, and regulatory materials described below.</w:t>
      </w:r>
    </w:p>
    <w:p>
      <w:r>
        <w:rPr>
          <w:i w:val="0"/>
        </w:rPr>
        <w:t>The record reviewed does not establish that a formal hold notice or effective technical preservation controls were implemented before November 4. IT affirmatively reported that no eDiscovery hold had been placed on Kovach’s mailbox or Teams data, the 90-day Teams chat deletion policy remained active, and Salesforce inactive-record deletion remained active. Legal should verify the hold log and all system settings immediately; do not infer that preservation occurred merely because routine retention existed or an investigation was underway.</w:t>
      </w:r>
    </w:p>
    <w:p>
      <w:r>
        <w:rPr>
          <w:i w:val="0"/>
        </w:rPr>
        <w:t>Preservation likely became necessary no later than August 5, 2024, when Kovach escalated a written accounting-misconduct complaint to Audit Committee Chair Marcus Ainsley. The internal investigation beginning August 20 and Kovach’s September 12 termination reinforced the foreseeability of claims; the October 3 demand letter made threatened litigation explicit. The SEC’s October 28 letter separately expressly requested preservation. The August 5-to-November 8 interval is 95 days. During this interval, at least some relevant Teams chats may have been automatically purged; Salesforce records may have been permanently deleted; and archive completeness for key custodians remains unknown.</w:t>
      </w:r>
    </w:p>
    <w:p>
      <w:r>
        <w:rPr>
          <w:i w:val="0"/>
        </w:rPr>
        <w:t>The most urgent steps are: (i) issue the hold and suspend the Teams 90-day chat purge; (ii) suspend Salesforce inactive-record deletion and preserve exports, audit logs, and recovery sources; (iii) place M365 and Enterprise Vault data on hold and reconcile the 421-mailbox migration remediation log; (iv) freeze deletion/decommissioning activity on NXF-FS01 and arrange a forensic image before January 31, 2025; and (v) have Pinnacle Hartwell promptly send the agreed preservation demand to Kovach’s counsel concerning his personal iPhone. Do not wait for collection to begin before stopping routine destruction.</w:t>
      </w:r>
    </w:p>
    <w:p>
      <w:pPr>
        <w:pStyle w:val="Heading1"/>
      </w:pPr>
      <w:r>
        <w:t>1. Matter, Trigger, and Preservation Gap</w:t>
      </w:r>
    </w:p>
    <w:p>
      <w:r>
        <w:rPr>
          <w:i w:val="0"/>
        </w:rPr>
        <w:t>The Kovach matter concerns alleged retaliation for internal complaints about accelerated channel shipments and revenue recognition, including a SOX Section 806 claim and Texas-law claims. The SEC inquiry concerns channel distribution arrangements, quarter-end shipments, revenue recognition, and returns/credits during Q1–Q3 FY2024. Both matters require preservation of communications and business records concerning channel sales, and the Kovach matter additionally requires employment, performance, complaint, investigation, and termination evidence.</w:t>
      </w:r>
    </w:p>
    <w:p>
      <w:r>
        <w:rPr>
          <w:i w:val="0"/>
        </w:rPr>
        <w:t>Trigger assessment. Based on the documents reviewed, August 5 is the prudent conservative trigger date for the Kovach dispute: Kovach’s written letter to the Audit Committee Chair alleged material misstatements and requested an independent investigation. The June verbal complaints, the Audit Committee-directed investigation commencing August 20, and the September 12 termination are additional facts bearing on when claims were reasonably anticipated. At the latest, the termination of an employee who had complained about accounting practices and escalated those complaints to the Audit Committee made litigation reasonably foreseeable. The SEC preservation obligation was explicit upon receipt of its October 28 inquiry letter; the overlapping data should already have been preserved under the earlier events.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Date / event</w:t>
            </w:r>
          </w:p>
        </w:tc>
        <w:tc>
          <w:tcPr>
            <w:tcW w:type="dxa" w:w="8208"/>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Preservation significance</w:t>
            </w:r>
          </w:p>
        </w:tc>
      </w:tr>
      <w:tr>
        <w:trPr>
          <w:cantSplit/>
        </w:trPr>
        <w:tc>
          <w:tcPr>
            <w:tcW w:type="dxa" w:w="2232"/>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June 14 / June 28 / July 2, 2024</w:t>
            </w:r>
          </w:p>
        </w:tc>
        <w:tc>
          <w:tcPr>
            <w:tcW w:type="dxa" w:w="820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Kovach reportedly raised revenue-recognition concerns to CFO Renata Sokolova (June 14 and July 2) and Controller Li Wei Chen (approximately June 28). Preserve communications, notes, calendar entries, and follow-up.</w:t>
            </w:r>
          </w:p>
        </w:tc>
      </w:tr>
      <w:tr>
        <w:trPr>
          <w:cantSplit/>
        </w:trPr>
        <w:tc>
          <w:tcPr>
            <w:tcW w:type="dxa" w:w="2232"/>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July 15, 2024</w:t>
            </w:r>
          </w:p>
        </w:tc>
        <w:tc>
          <w:tcPr>
            <w:tcW w:type="dxa" w:w="8208"/>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PIP issued thirteen days after the second reported Sokolova complaint. Preserve decision-making, drafts, CRM audits, check-in notes, and communications among Sokolova, CEO Graham Ellicott, and HR VP Janet Purdy.</w:t>
            </w:r>
          </w:p>
        </w:tc>
      </w:tr>
      <w:tr>
        <w:trPr>
          <w:cantSplit/>
        </w:trPr>
        <w:tc>
          <w:tcPr>
            <w:tcW w:type="dxa" w:w="2232"/>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August 5, 2024</w:t>
            </w:r>
          </w:p>
        </w:tc>
        <w:tc>
          <w:tcPr>
            <w:tcW w:type="dxa" w:w="820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Written whistleblower letter sent to Audit Committee Chair Marcus Ainsley. Likely no-later-than preservation trigger for the Kovach matter; preserve original email/PDF, receipt, forwarding, and response.</w:t>
            </w:r>
          </w:p>
        </w:tc>
      </w:tr>
      <w:tr>
        <w:trPr>
          <w:cantSplit/>
        </w:trPr>
        <w:tc>
          <w:tcPr>
            <w:tcW w:type="dxa" w:w="2232"/>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August 20–October 10, 2024</w:t>
            </w:r>
          </w:p>
        </w:tc>
        <w:tc>
          <w:tcPr>
            <w:tcW w:type="dxa" w:w="8208"/>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Audit Committee-directed preliminary investigation. Preserve underlying documents, interview materials, collection records, notes, and counsel files under a controlled privileged protocol.</w:t>
            </w:r>
          </w:p>
        </w:tc>
      </w:tr>
      <w:tr>
        <w:trPr>
          <w:cantSplit/>
        </w:trPr>
        <w:tc>
          <w:tcPr>
            <w:tcW w:type="dxa" w:w="2232"/>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September 12, 2024</w:t>
            </w:r>
          </w:p>
        </w:tc>
        <w:tc>
          <w:tcPr>
            <w:tcW w:type="dxa" w:w="820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Kovach terminated one day before PIP expiration. At latest, claims were reasonably foreseeable. IT offboarding converted his mailbox to a shared mailbox; BYOD work data was not preserved by request.</w:t>
            </w:r>
          </w:p>
        </w:tc>
      </w:tr>
      <w:tr>
        <w:trPr>
          <w:cantSplit/>
        </w:trPr>
        <w:tc>
          <w:tcPr>
            <w:tcW w:type="dxa" w:w="2232"/>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October 3, 2024</w:t>
            </w:r>
          </w:p>
        </w:tc>
        <w:tc>
          <w:tcPr>
            <w:tcW w:type="dxa" w:w="8208"/>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Stadler Raines demand and express preservation demand received by General Counsel. The demand requested a written response by November 2, 2024; that date has passed and should be addressed separately by counsel.</w:t>
            </w:r>
          </w:p>
        </w:tc>
      </w:tr>
      <w:tr>
        <w:trPr>
          <w:cantSplit/>
        </w:trPr>
        <w:tc>
          <w:tcPr>
            <w:tcW w:type="dxa" w:w="2232"/>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October 18 / November 1, 2024</w:t>
            </w:r>
          </w:p>
        </w:tc>
        <w:tc>
          <w:tcPr>
            <w:tcW w:type="dxa" w:w="820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Pinnacle Hartwell defense engagement and Ridgeway Forensics engagement, respectively. Engagements do not themselves implement system holds.</w:t>
            </w:r>
          </w:p>
        </w:tc>
      </w:tr>
      <w:tr>
        <w:trPr>
          <w:cantSplit/>
        </w:trPr>
        <w:tc>
          <w:tcPr>
            <w:tcW w:type="dxa" w:w="2232"/>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October 28, 2024</w:t>
            </w:r>
          </w:p>
        </w:tc>
        <w:tc>
          <w:tcPr>
            <w:tcW w:type="dxa" w:w="8208"/>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SEC informal inquiry with express preservation request; voluntary production response requested by November 27, 2024.</w:t>
            </w:r>
          </w:p>
        </w:tc>
      </w:tr>
      <w:tr>
        <w:trPr>
          <w:cantSplit/>
        </w:trPr>
        <w:tc>
          <w:tcPr>
            <w:tcW w:type="dxa" w:w="2232"/>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November 4–8, 2024</w:t>
            </w:r>
          </w:p>
        </w:tc>
        <w:tc>
          <w:tcPr>
            <w:tcW w:type="dxa" w:w="820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IT inventory reports no relevant M365/Teams hold as of November 4; Teams and Salesforce deletion processes remain active. Ridgeway has preliminary read-only M365 access; no hold should await a finalized collection plan.</w:t>
            </w:r>
          </w:p>
        </w:tc>
      </w:tr>
    </w:tbl>
    <w:p>
      <w:pPr>
        <w:spacing w:after="0"/>
      </w:pPr>
    </w:p>
    <w:p>
      <w:r>
        <w:rPr>
          <w:i w:val="0"/>
        </w:rPr>
        <w:t>The gap should be investigated and documented, not minimized. The information available establishes a material risk of loss, but not that every potentially relevant record was destroyed or that any deletion was intentional. Counsel should determine when each potentially lost item was deleted, whether it was within the scope of a preservation duty, whether a copy exists elsewhere, and what recovery efforts are reasonable. Preserve system logs and the factual record of actions taken; do not alter, recreate, or backfill source data.</w:t>
      </w:r>
    </w:p>
    <w:p>
      <w:pPr>
        <w:pStyle w:val="Heading1"/>
      </w:pPr>
      <w:r>
        <w:t>2. Proposed Hold Scope</w:t>
      </w:r>
    </w:p>
    <w:p>
      <w:r>
        <w:rPr>
          <w:i w:val="0"/>
        </w:rPr>
        <w:t>Issue a single hold with a common “Kovach / SEC Revenue Recognition” umbrella and two matter tags for administration: “KOV-EMP” (whistleblower, employment, investigation, and termination) and “SEC-RR” (Q1–Q3 channel sales / revenue recognition inquiry). Give custodians clear descriptions in ordinary language, the relevant dates, examples of records, a prohibition on deletion/alteration, instructions for non-standard locations, and a Legal contact. The scope should include the relevant period and earlier context where necessary; the hold continues through resolution and written release by Legal.</w:t>
      </w:r>
    </w:p>
    <w:p>
      <w:pPr>
        <w:pStyle w:val="ListBullet"/>
        <w:keepLines/>
      </w:pPr>
      <w:r>
        <w:t>KOV-EMP: preserve employment and compensation records from hire through termination and post-termination; complaints and responses; the PIP and termination decision; performance history; internal-investigation materials; and related communications from at least January 1, 2024 through the present, continuing. Preserve earlier records if they provide relevant performance or policy context.</w:t>
      </w:r>
    </w:p>
    <w:p>
      <w:pPr>
        <w:pStyle w:val="ListBullet"/>
        <w:keepLines/>
      </w:pPr>
      <w:r>
        <w:t>SEC-RR: preserve channel distributor agreements and amendments in effect during Q1–Q3 FY2024; orders, shipments, delivery, invoices, revenue entries, returns, credits, rebates, price protection, inventory, and reserve records; target/forecast communications; related board, Audit Committee, and external-auditor materials; and relevant baseline or subsequent records. Preserve Q4 2024 returns/credits and later adjustments as they may illuminate Q1–Q3 sales.</w:t>
      </w:r>
    </w:p>
    <w:p>
      <w:pPr>
        <w:pStyle w:val="ListBullet"/>
        <w:keepLines/>
      </w:pPr>
      <w:r>
        <w:t>Preserve data in original/native form with metadata, attachments, versions, audit/history fields, and parent-child relationships where available. Suspend routine deletion and overwriting for covered data; do not ask custodians to curate or delete duplicates before collection.</w:t>
      </w:r>
    </w:p>
    <w:p>
      <w:pPr>
        <w:pStyle w:val="ListBullet"/>
        <w:keepLines/>
      </w:pPr>
      <w:r>
        <w:t>The hold is not limited to the categories expressly requested in the SEC letter or Stadler Raines demand. Include texts, SMS/MMS, voicemail, calendars, notes, collaboration messages, personal-device work data, local/network/cloud files, and relevant databases.</w:t>
      </w:r>
    </w:p>
    <w:p>
      <w:pPr>
        <w:pStyle w:val="Heading1"/>
      </w:pPr>
      <w:r>
        <w:t>3. Custodian Identification</w:t>
      </w:r>
    </w:p>
    <w:p>
      <w:r>
        <w:rPr>
          <w:i w:val="0"/>
        </w:rPr>
        <w:t>Issue custodian notices to the identified people and add the targeted role-based custodians below after confirming names with the relevant business leads. Include custodians who hold evidence of the revenue practices even if they had no role in Kovach’s employment decision. The eight interviewees identified in the internal-investigation summary are all relevant candidates; being interviewed is not a reason to exclude an individual.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89"/>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Custodian / group</w:t>
            </w:r>
          </w:p>
        </w:tc>
        <w:tc>
          <w:tcPr>
            <w:tcW w:type="dxa" w:w="3096"/>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Matter and basis</w:t>
            </w:r>
          </w:p>
        </w:tc>
        <w:tc>
          <w:tcPr>
            <w:tcW w:type="dxa" w:w="5155"/>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Preservation direction</w:t>
            </w:r>
          </w:p>
        </w:tc>
      </w:tr>
      <w:tr>
        <w:trPr>
          <w:cantSplit/>
        </w:trPr>
        <w:tc>
          <w:tcPr>
            <w:tcW w:type="dxa" w:w="2189"/>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Darren T. Kovach — former VP, Sales Americas</w:t>
            </w:r>
          </w:p>
        </w:tc>
        <w:tc>
          <w:tcPr>
            <w:tcW w:type="dxa" w:w="3096"/>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Both; primary complainant and custodian of alleged complaint communications, sales directives, texts, and supporting records.</w:t>
            </w:r>
          </w:p>
        </w:tc>
        <w:tc>
          <w:tcPr>
            <w:tcW w:type="dxa" w:w="515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Hold Nexfield-controlled mailbox, files, returned Dell laptop and corporate records. Through Stadler Raines, request immediate preservation of personal iPhone work data (Outlook, Teams/cache, Salesforce, SMS/texts, photos/notes of business). No MDM or remote access; do not attempt access/wipe without consent and counsel protocol.</w:t>
            </w:r>
          </w:p>
        </w:tc>
      </w:tr>
      <w:tr>
        <w:trPr>
          <w:cantSplit/>
        </w:trPr>
        <w:tc>
          <w:tcPr>
            <w:tcW w:type="dxa" w:w="2189"/>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Renata Sokolova — CFO</w:t>
            </w:r>
          </w:p>
        </w:tc>
        <w:tc>
          <w:tcPr>
            <w:tcW w:type="dxa" w:w="3096"/>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Both; alleged recipient of June 14/July 2 complaints; financial reporting, forecasts, revenue decisions.</w:t>
            </w:r>
          </w:p>
        </w:tc>
        <w:tc>
          <w:tcPr>
            <w:tcW w:type="dxa" w:w="515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Preserve email, Teams, texts/calls/notes, calendar, finance files, draft analyses, and communications with Kovach, Chen, Ellicott, Purdy, Herrera, and Ainsley.</w:t>
            </w:r>
          </w:p>
        </w:tc>
      </w:tr>
      <w:tr>
        <w:trPr>
          <w:cantSplit/>
        </w:trPr>
        <w:tc>
          <w:tcPr>
            <w:tcW w:type="dxa" w:w="2189"/>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Li Wei Chen — Controller</w:t>
            </w:r>
          </w:p>
        </w:tc>
        <w:tc>
          <w:tcPr>
            <w:tcW w:type="dxa" w:w="3096"/>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Both; alleged June 28 complaint recipient; close, revenue entries, reserves, and Q3 return-rate analysis.</w:t>
            </w:r>
          </w:p>
        </w:tc>
        <w:tc>
          <w:tcPr>
            <w:tcW w:type="dxa" w:w="515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Preserve email/chat, close files, journals, ASC 606 analyses, return reserve work, approvals, and related SAP/finance records.</w:t>
            </w:r>
          </w:p>
        </w:tc>
      </w:tr>
      <w:tr>
        <w:trPr>
          <w:cantSplit/>
        </w:trPr>
        <w:tc>
          <w:tcPr>
            <w:tcW w:type="dxa" w:w="2189"/>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Graham Ellicott — CEO</w:t>
            </w:r>
          </w:p>
        </w:tc>
        <w:tc>
          <w:tcPr>
            <w:tcW w:type="dxa" w:w="3096"/>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KOV-EMP and SEC-RR; approved PIP and made termination decision; executive sales/revenue communications.</w:t>
            </w:r>
          </w:p>
        </w:tc>
        <w:tc>
          <w:tcPr>
            <w:tcW w:type="dxa" w:w="515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Preserve all communications and records, especially July 2–15 decision period, PIP/termination drafts, communications with Sokolova/Purdy, Audit Committee, and sales leadership.</w:t>
            </w:r>
          </w:p>
        </w:tc>
      </w:tr>
      <w:tr>
        <w:trPr>
          <w:cantSplit/>
        </w:trPr>
        <w:tc>
          <w:tcPr>
            <w:tcW w:type="dxa" w:w="2189"/>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Janet Purdy — VP, HR</w:t>
            </w:r>
          </w:p>
        </w:tc>
        <w:tc>
          <w:tcPr>
            <w:tcW w:type="dxa" w:w="3096"/>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KOV-EMP; PIP, check-ins, termination, personnel-file custodian.</w:t>
            </w:r>
          </w:p>
        </w:tc>
        <w:tc>
          <w:tcPr>
            <w:tcW w:type="dxa" w:w="515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Preserve paper originals, HRIS/SuccessFactors records, PIP drafts and check-in notes, CRM audit reports received, termination/release records, and communications with decision-makers.</w:t>
            </w:r>
          </w:p>
        </w:tc>
      </w:tr>
      <w:tr>
        <w:trPr>
          <w:cantSplit/>
        </w:trPr>
        <w:tc>
          <w:tcPr>
            <w:tcW w:type="dxa" w:w="2189"/>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Tomás Herrera — Sales Operations Director / interim VP Sales</w:t>
            </w:r>
          </w:p>
        </w:tc>
        <w:tc>
          <w:tcPr>
            <w:tcW w:type="dxa" w:w="3096"/>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Both; direct report to Kovach, successor, Salesforce and sales-operations access.</w:t>
            </w:r>
          </w:p>
        </w:tc>
        <w:tc>
          <w:tcPr>
            <w:tcW w:type="dxa" w:w="515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Preserve Salesforce records/reports, territory and pipeline data, sales directives, forecast files, channel communications, transferred/forwarded Kovach emails (including 30-day forwarding through Oct. 12), and relevant shared-drive files.</w:t>
            </w:r>
          </w:p>
        </w:tc>
      </w:tr>
      <w:tr>
        <w:trPr>
          <w:cantSplit/>
        </w:trPr>
        <w:tc>
          <w:tcPr>
            <w:tcW w:type="dxa" w:w="2189"/>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Marcus Ainsley — Audit Committee Chair</w:t>
            </w:r>
          </w:p>
        </w:tc>
        <w:tc>
          <w:tcPr>
            <w:tcW w:type="dxa" w:w="3096"/>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Both; received Aug. 5 complaint and directed investigation; SEC requests governance materials.</w:t>
            </w:r>
          </w:p>
        </w:tc>
        <w:tc>
          <w:tcPr>
            <w:tcW w:type="dxa" w:w="515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Include, but use controlled collection described in §7. Preserve original letter/email, responses, committee materials, minutes, and counsel communications. Do not exclude privileged or potentially privileged content from preservation.</w:t>
            </w:r>
          </w:p>
        </w:tc>
      </w:tr>
      <w:tr>
        <w:trPr>
          <w:cantSplit/>
        </w:trPr>
        <w:tc>
          <w:tcPr>
            <w:tcW w:type="dxa" w:w="2189"/>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Brett Collings — Regional Sales Manager, Gulf Coast</w:t>
            </w:r>
          </w:p>
        </w:tc>
        <w:tc>
          <w:tcPr>
            <w:tcW w:type="dxa" w:w="3096"/>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SEC-RR and relevant KOV-EMP; shipment targets and alleged oral/email/text return assurances.</w:t>
            </w:r>
          </w:p>
        </w:tc>
        <w:tc>
          <w:tcPr>
            <w:tcW w:type="dxa" w:w="515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Preserve distributor and internal communications, texts on personal devices, order/return details, notes, and Q2/Q3 shipment directives.</w:t>
            </w:r>
          </w:p>
        </w:tc>
      </w:tr>
      <w:tr>
        <w:trPr>
          <w:cantSplit/>
        </w:trPr>
        <w:tc>
          <w:tcPr>
            <w:tcW w:type="dxa" w:w="2189"/>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Diana Muñoz — Regional Sales Manager, Southwest</w:t>
            </w:r>
          </w:p>
        </w:tc>
        <w:tc>
          <w:tcPr>
            <w:tcW w:type="dxa" w:w="3096"/>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SEC-RR and relevant KOV-EMP; Q3 shipments, channel-loading concerns, internal directives.</w:t>
            </w:r>
          </w:p>
        </w:tc>
        <w:tc>
          <w:tcPr>
            <w:tcW w:type="dxa" w:w="515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Preserve territory reports, distributor communications, Teams/email/texts, notes, and documents reflecting late-quarter shipment acceleration.</w:t>
            </w:r>
          </w:p>
        </w:tc>
      </w:tr>
      <w:tr>
        <w:trPr>
          <w:cantSplit/>
        </w:trPr>
        <w:tc>
          <w:tcPr>
            <w:tcW w:type="dxa" w:w="2189"/>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Raj Patwardhan — Regional Sales Manager, Northeast</w:t>
            </w:r>
          </w:p>
        </w:tc>
        <w:tc>
          <w:tcPr>
            <w:tcW w:type="dxa" w:w="3096"/>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SEC-RR and relevant KOV-EMP; has copies of internal emails on acceleration/milestones.</w:t>
            </w:r>
          </w:p>
        </w:tc>
        <w:tc>
          <w:tcPr>
            <w:tcW w:type="dxa" w:w="515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Preserve native email and attachments and copies supplied to investigators; avoid relying solely on investigation-file copies.</w:t>
            </w:r>
          </w:p>
        </w:tc>
      </w:tr>
      <w:tr>
        <w:trPr>
          <w:cantSplit/>
        </w:trPr>
        <w:tc>
          <w:tcPr>
            <w:tcW w:type="dxa" w:w="2189"/>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Frank Jessup — VP, Operations</w:t>
            </w:r>
          </w:p>
        </w:tc>
        <w:tc>
          <w:tcPr>
            <w:tcW w:type="dxa" w:w="3096"/>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SEC-RR; shipping capacity, extended shifts, ship-ahead arrangements and logistics communications.</w:t>
            </w:r>
          </w:p>
        </w:tc>
        <w:tc>
          <w:tcPr>
            <w:tcW w:type="dxa" w:w="515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Preserve Houston/Dallas shipping records, warehouse releases, dispatch/PO timing, shift records, communications with Sales, and operational notes.</w:t>
            </w:r>
          </w:p>
        </w:tc>
      </w:tr>
      <w:tr>
        <w:trPr>
          <w:cantSplit/>
        </w:trPr>
        <w:tc>
          <w:tcPr>
            <w:tcW w:type="dxa" w:w="2189"/>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Other regional sales managers and Sales Operations staff</w:t>
            </w:r>
          </w:p>
        </w:tc>
        <w:tc>
          <w:tcPr>
            <w:tcW w:type="dxa" w:w="3096"/>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SEC-RR; add all six territory leads and relevant sales-ops staff who handled channel distributors, forecasts, directives, orders, returns, or the PIP objectives.</w:t>
            </w:r>
          </w:p>
        </w:tc>
        <w:tc>
          <w:tcPr>
            <w:tcW w:type="dxa" w:w="515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Herrera/HR to identify by name promptly. Include the three additional Sales Operations staff reporting within Kovach’s organization and any employee who communicated return flexibility or entered/changed CRM records.</w:t>
            </w:r>
          </w:p>
        </w:tc>
      </w:tr>
      <w:tr>
        <w:trPr>
          <w:cantSplit/>
        </w:trPr>
        <w:tc>
          <w:tcPr>
            <w:tcW w:type="dxa" w:w="2189"/>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Finance / accounting / revenue and returns personnel</w:t>
            </w:r>
          </w:p>
        </w:tc>
        <w:tc>
          <w:tcPr>
            <w:tcW w:type="dxa" w:w="3096"/>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Primarily SEC-RR; include employees who prepared/reviewed revenue recognition, Q1–Q3 close, channel sales, return reserves, rebates/credits, or distributor inventory analyses.</w:t>
            </w:r>
          </w:p>
        </w:tc>
        <w:tc>
          <w:tcPr>
            <w:tcW w:type="dxa" w:w="515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Controller and CFO to identify preparers, approvers, and sales-finance analysts. Preserve workpapers and messages, including communications with the external auditor.</w:t>
            </w:r>
          </w:p>
        </w:tc>
      </w:tr>
      <w:tr>
        <w:trPr>
          <w:cantSplit/>
        </w:trPr>
        <w:tc>
          <w:tcPr>
            <w:tcW w:type="dxa" w:w="2189"/>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Audit Committee members, Corporate Secretary, governance record custodians</w:t>
            </w:r>
          </w:p>
        </w:tc>
        <w:tc>
          <w:tcPr>
            <w:tcW w:type="dxa" w:w="3096"/>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Primarily SEC-RR; include members/secretary with relevant Q1–Q3 2024 committee materials or discussions. Ainsley is confirmed.</w:t>
            </w:r>
          </w:p>
        </w:tc>
        <w:tc>
          <w:tcPr>
            <w:tcW w:type="dxa" w:w="515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Identify names and relevant repositories. Preserve board/committee minutes, packets, drafts, and correspondence. Apply privilege protocol; do not broadly collect unrelated personal materials.</w:t>
            </w:r>
          </w:p>
        </w:tc>
      </w:tr>
      <w:tr>
        <w:trPr>
          <w:cantSplit/>
        </w:trPr>
        <w:tc>
          <w:tcPr>
            <w:tcW w:type="dxa" w:w="2189"/>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IT / system and data administrators</w:t>
            </w:r>
          </w:p>
        </w:tc>
        <w:tc>
          <w:tcPr>
            <w:tcW w:type="dxa" w:w="3096"/>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Implementation/source custodians, not automatically substantive merits custodians: Craig Novotny, Priya Dasgupta, Derek Halverson; Salesforce admin, SAP Basis, HRIS admin as identified.</w:t>
            </w:r>
          </w:p>
        </w:tc>
        <w:tc>
          <w:tcPr>
            <w:tcW w:type="dxa" w:w="515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Preserve retention/configuration, migration, deletion, audit, backup, decommissioning, and remediation records. Keep technical logs and decision records; identify administrators and confirm controls in writing.</w:t>
            </w:r>
          </w:p>
        </w:tc>
      </w:tr>
      <w:tr>
        <w:trPr>
          <w:cantSplit/>
        </w:trPr>
        <w:tc>
          <w:tcPr>
            <w:tcW w:type="dxa" w:w="2189"/>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Outside auditor contacts / external sources</w:t>
            </w:r>
          </w:p>
        </w:tc>
        <w:tc>
          <w:tcPr>
            <w:tcW w:type="dxa" w:w="3096"/>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SEC-RR; preserve Nexfield-controlled copies and identify relevant Caldwell Thornton &amp; Associates LLP contacts.</w:t>
            </w:r>
          </w:p>
        </w:tc>
        <w:tc>
          <w:tcPr>
            <w:tcW w:type="dxa" w:w="515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5"/>
              </w:rPr>
              <w:t>Legal/Finance to identify correspondence, audit inquiry responses, management representations and any audit portal records. Counsel to coordinate preservation/communications; do not assume auditor-held materials are under Company control.</w:t>
            </w:r>
          </w:p>
        </w:tc>
      </w:tr>
      <w:tr>
        <w:trPr>
          <w:cantSplit/>
        </w:trPr>
        <w:tc>
          <w:tcPr>
            <w:tcW w:type="dxa" w:w="2189"/>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Pinnacle Hartwell / investigation and defense files</w:t>
            </w:r>
          </w:p>
        </w:tc>
        <w:tc>
          <w:tcPr>
            <w:tcW w:type="dxa" w:w="3096"/>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Both; prior Audit Committee investigation (Aug. 20–Oct. 10) and separate GC-directed defense engagement (Oct. 18 onward).</w:t>
            </w:r>
          </w:p>
        </w:tc>
        <w:tc>
          <w:tcPr>
            <w:tcW w:type="dxa" w:w="515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5"/>
              </w:rPr>
              <w:t>Ask each engagement team to preserve its complete file, including source documents, interview notes, communications and collection logs. Maintain separate matter repositories, instructions, access, and privilege review.</w:t>
            </w:r>
          </w:p>
        </w:tc>
      </w:tr>
    </w:tbl>
    <w:p>
      <w:pPr>
        <w:spacing w:after="0"/>
      </w:pPr>
    </w:p>
    <w:p>
      <w:r>
        <w:rPr>
          <w:i w:val="0"/>
        </w:rPr>
        <w:t>Scope boundary—Monterrey. IT reports that the Monterrey plant uses a separate file server and Salesforce org and that identified U.S. channel relationships appear to be in the U.S. Salesforce instance; its M365 mailboxes are on the shared tenant. Do not assume all Mexico data is relevant, but do not categorically exclude it because Kovach’s Americas remit included multiple geographies. Preserve relevant Monterrey M365 communications and promptly query Legal/Sales for any Q1–Q3 cross-border distributor, shipment, return, or revenue records. If none are implicated, document a reasoned exclusion of unrelated plant/manufacturing and Mexican domestic-sales repositories; keep any potentially responsive local records from routine deletion pending that decision.</w:t>
      </w:r>
    </w:p>
    <w:p>
      <w:pPr>
        <w:pStyle w:val="Heading1"/>
      </w:pPr>
      <w:r>
        <w:t>4. Data Sources and Required Preservation Controls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30"/>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Source</w:t>
            </w:r>
          </w:p>
        </w:tc>
        <w:tc>
          <w:tcPr>
            <w:tcW w:type="dxa" w:w="2880"/>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Potentially relevant data</w:t>
            </w:r>
          </w:p>
        </w:tc>
        <w:tc>
          <w:tcPr>
            <w:tcW w:type="dxa" w:w="2520"/>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Known risk / status</w:t>
            </w:r>
          </w:p>
        </w:tc>
        <w:tc>
          <w:tcPr>
            <w:tcW w:type="dxa" w:w="3110"/>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Immediate preservation action</w:t>
            </w:r>
          </w:p>
        </w:tc>
      </w:tr>
      <w:tr>
        <w:trPr>
          <w:cantSplit/>
        </w:trPr>
        <w:tc>
          <w:tcPr>
            <w:tcW w:type="dxa" w:w="193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Microsoft 365 / Exchange Online</w:t>
            </w:r>
          </w:p>
        </w:tc>
        <w:tc>
          <w:tcPr>
            <w:tcW w:type="dxa" w:w="288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Email, attachments, calendar; Kovach mailbox converted to shared and intact for Apr. 1, 2024 onward. Email retention is seven years; deleted items ordinarily purge after 30 days.</w:t>
            </w:r>
          </w:p>
        </w:tc>
        <w:tc>
          <w:tcPr>
            <w:tcW w:type="dxa" w:w="252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No eDiscovery hold reported as of Nov. 4. Kovach incoming mail was forwarded to Herrera for 30 days, ending Oct. 12.</w:t>
            </w:r>
          </w:p>
        </w:tc>
        <w:tc>
          <w:tcPr>
            <w:tcW w:type="dxa" w:w="311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Place custodian holds now (including shared Kovach mailbox and relevant recoverable items); preserve Herrera’s forwarded copies; verify mailbox state, permissions, retention, hold reports, and audit logs. Do not rely on normal 7-year policy alone.</w:t>
            </w:r>
          </w:p>
        </w:tc>
      </w:tr>
      <w:tr>
        <w:trPr>
          <w:cantSplit/>
        </w:trPr>
        <w:tc>
          <w:tcPr>
            <w:tcW w:type="dxa" w:w="193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Veritas Enterprise Vault, NXF-EV01</w:t>
            </w:r>
          </w:p>
        </w:tc>
        <w:tc>
          <w:tcPr>
            <w:tcW w:type="dxa" w:w="288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Pre-Apr. 1, 2024 email archive, intended authoritative source; indefinite retention, no purges reported.</w:t>
            </w:r>
          </w:p>
        </w:tc>
        <w:tc>
          <w:tcPr>
            <w:tcW w:type="dxa" w:w="252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Migration validation found 421 of ~2,800 mailboxes with incomplete ingestion; relevant custodians not yet checked. Exchange source servers/storage decommissioned May 15, 2024; original source data unavailable.</w:t>
            </w:r>
          </w:p>
        </w:tc>
        <w:tc>
          <w:tcPr>
            <w:tcW w:type="dxa" w:w="311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Hold and preserve archive, configuration, indexes, migration/validation logs and remediation log. Cross-reference all custodians against affected-mailbox list immediately; determine date ranges and missing counts; expedite recovery/remediation for affected people. Preserve archive image/export with defensible chain of custody.</w:t>
            </w:r>
          </w:p>
        </w:tc>
      </w:tr>
      <w:tr>
        <w:trPr>
          <w:cantSplit/>
        </w:trPr>
        <w:tc>
          <w:tcPr>
            <w:tcW w:type="dxa" w:w="193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Microsoft Teams</w:t>
            </w:r>
          </w:p>
        </w:tc>
        <w:tc>
          <w:tcPr>
            <w:tcW w:type="dxa" w:w="288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1:1/group chat, channels, files, meeting records; extensive Sales use and Kovach activity Q1–Q3. Chats purge after 90 days; channel posts after one year; files in SharePoint/OneDrive.</w:t>
            </w:r>
          </w:p>
        </w:tc>
        <w:tc>
          <w:tcPr>
            <w:tcW w:type="dxa" w:w="252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90-day chat purge remains active; as of Nov. 6, messages older than about Aug. 8 likely purged. June/July complaint communications may be gone if sent by chat. Audit logs may show sender/recipient/time but not content; retention of logs needs confirmation.</w:t>
            </w:r>
          </w:p>
        </w:tc>
        <w:tc>
          <w:tcPr>
            <w:tcW w:type="dxa" w:w="311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Immediately suspend 90-day chat deletion tenant-wide or use a validated equivalent that covers all known/possible custodians; place eDiscovery holds on custodians and Teams locations; preserve channels, meeting artifacts, audit logs, and chat content still present. Verify effect on substrate/hold data with Ridgeway/Microsoft. Do not promise recovery of purged content.</w:t>
            </w:r>
          </w:p>
        </w:tc>
      </w:tr>
      <w:tr>
        <w:trPr>
          <w:cantSplit/>
        </w:trPr>
        <w:tc>
          <w:tcPr>
            <w:tcW w:type="dxa" w:w="193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SharePoint Online / OneDrive</w:t>
            </w:r>
          </w:p>
        </w:tc>
        <w:tc>
          <w:tcPr>
            <w:tcW w:type="dxa" w:w="288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Seven-year retention for Teams files and cloud files; likely department sites and user drives.</w:t>
            </w:r>
          </w:p>
        </w:tc>
        <w:tc>
          <w:tcPr>
            <w:tcW w:type="dxa" w:w="252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Files may contain agreements, forecasts, territory plans, and reports; moves from NXF-FS01 may alter paths/metadata or omit stale files.</w:t>
            </w:r>
          </w:p>
        </w:tc>
        <w:tc>
          <w:tcPr>
            <w:tcW w:type="dxa" w:w="311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Hold user and relevant Sales/Sales Operations sites and OneDrive; preserve versions, recycle bins, permissions, audit trails and source/migration mappings. Include both source and migrated copy.</w:t>
            </w:r>
          </w:p>
        </w:tc>
      </w:tr>
      <w:tr>
        <w:trPr>
          <w:cantSplit/>
        </w:trPr>
        <w:tc>
          <w:tcPr>
            <w:tcW w:type="dxa" w:w="193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Salesforce Enterprise (U.S. org)</w:t>
            </w:r>
          </w:p>
        </w:tc>
        <w:tc>
          <w:tcPr>
            <w:tcW w:type="dxa" w:w="288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Accounts, opportunities, contacts, activity, calls/emails logged, tasks, agreements/attachments, pipeline, territory and deal data.</w:t>
            </w:r>
          </w:p>
        </w:tc>
        <w:tc>
          <w:tcPr>
            <w:tcW w:type="dxa" w:w="252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Nightly 2:00 a.m. CT deletion of records inactive for 18 months, including child records; job remains active. ~2,200 FY2023 records marked inactive; unknown subset may have been deleted. Recycle bin recovery only 15 days.</w:t>
            </w:r>
          </w:p>
        </w:tc>
        <w:tc>
          <w:tcPr>
            <w:tcW w:type="dxa" w:w="311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Suspend batch deletion immediately pending scope; preserve current snapshot, deletion/recycle-bin/audit logs and backups; export channel distributor accounts/opportunities and associated child records, historical field values, Q1–Q4 activity, inactive FY2023 records, and PIP audit reports. Assess permanent deletions/recovery with Salesforce/vendor.</w:t>
            </w:r>
          </w:p>
        </w:tc>
      </w:tr>
      <w:tr>
        <w:trPr>
          <w:cantSplit/>
        </w:trPr>
        <w:tc>
          <w:tcPr>
            <w:tcW w:type="dxa" w:w="193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SAP S/4HANA</w:t>
            </w:r>
          </w:p>
        </w:tc>
        <w:tc>
          <w:tcPr>
            <w:tcW w:type="dxa" w:w="288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Orders, shipments, invoices, AR, credits, returns, GL/journals and revenue recognition; relevant Q1–Q3 data.</w:t>
            </w:r>
          </w:p>
        </w:tc>
        <w:tc>
          <w:tcPr>
            <w:tcW w:type="dxa" w:w="252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No routine deletion or immediate archiving threat; seven-year retention, older archives remain accessible.</w:t>
            </w:r>
          </w:p>
        </w:tc>
        <w:tc>
          <w:tcPr>
            <w:tcW w:type="dxa" w:w="311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Place a preservation instruction and create controlled, documented extracts for channel distributor Q1–Q3 orders, shipments, invoices, credits, returns, journal entries and revenue analyses; include Q4 returns as they accrue. Preserve query logic, source IDs, timestamps, audit/change history. Finance/SAP Basis and Ridgeway coordinate.</w:t>
            </w:r>
          </w:p>
        </w:tc>
      </w:tr>
      <w:tr>
        <w:trPr>
          <w:cantSplit/>
        </w:trPr>
        <w:tc>
          <w:tcPr>
            <w:tcW w:type="dxa" w:w="193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NXF-FS01 (file server)</w:t>
            </w:r>
          </w:p>
        </w:tc>
        <w:tc>
          <w:tcPr>
            <w:tcW w:type="dxa" w:w="288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Sales/Sales Operations shared folders (S: drive): agreements, quarter-end reports, forecasts, quotas, territories, commissions, analyses; 4.2 TB total, ~1.8 TB Sales/Sales Ops.</w:t>
            </w:r>
          </w:p>
        </w:tc>
        <w:tc>
          <w:tcPr>
            <w:tcW w:type="dxa" w:w="252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Decommission planned Jan. 31, 2025; migration only 35% complete for Sales. ~40% of Sales files labeled stale (&gt;24 months) and planned for deletion.</w:t>
            </w:r>
          </w:p>
        </w:tc>
        <w:tc>
          <w:tcPr>
            <w:tcW w:type="dxa" w:w="311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Freeze deletion and decommissioning for relevant data. Authorize forensic image of server or at minimum all Sales/Sales Ops shares before Jan. 31; preferred full image given stale-file risk and 8–10-hour estimate. Preserve ACLs, timestamps, file paths, migration logs; do not delete originals after migration until Legal signs off.</w:t>
            </w:r>
          </w:p>
        </w:tc>
      </w:tr>
      <w:tr>
        <w:trPr>
          <w:cantSplit/>
        </w:trPr>
        <w:tc>
          <w:tcPr>
            <w:tcW w:type="dxa" w:w="193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HR physical file / HRIS (SAP SuccessFactors)</w:t>
            </w:r>
          </w:p>
        </w:tc>
        <w:tc>
          <w:tcPr>
            <w:tcW w:type="dxa" w:w="288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Personnel file, agreements, performance reviews, PIP with Kovach marginal note, check-ins, termination/release, payroll/benefit/offboarding records.</w:t>
            </w:r>
          </w:p>
        </w:tc>
        <w:tc>
          <w:tcPr>
            <w:tcW w:type="dxa" w:w="252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Paper originals in locked HR cabinet; personnel summary says no BYOD preservation request was made.</w:t>
            </w:r>
          </w:p>
        </w:tc>
        <w:tc>
          <w:tcPr>
            <w:tcW w:type="dxa" w:w="311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Janet Purdy to label and segregate originals “DO NOT DESTROY—LEGAL HOLD”; scan for review without replacing originals. Hold HRIS records, audit trail, drafts, email, weekly CRM audits and underlying documents.</w:t>
            </w:r>
          </w:p>
        </w:tc>
      </w:tr>
      <w:tr>
        <w:trPr>
          <w:cantSplit/>
        </w:trPr>
        <w:tc>
          <w:tcPr>
            <w:tcW w:type="dxa" w:w="193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BYOD / personal and corporate devices</w:t>
            </w:r>
          </w:p>
        </w:tc>
        <w:tc>
          <w:tcPr>
            <w:tcW w:type="dxa" w:w="288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Kovach’s personal iPhone used Outlook, Teams and Salesforce; other custodians may have used personal SMS/texts. Company has no MDM.</w:t>
            </w:r>
          </w:p>
        </w:tc>
        <w:tc>
          <w:tcPr>
            <w:tcW w:type="dxa" w:w="252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No remote access/image/wipe capability; local email and Teams cache may survive credential revocation. No request to Kovach at termination; his iPhone is outside Company’s technical control.</w:t>
            </w:r>
          </w:p>
        </w:tc>
        <w:tc>
          <w:tcPr>
            <w:tcW w:type="dxa" w:w="311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Pinnacle Hartwell to send prompt, specific preservation request to Stadler Raines/Kovach, as directed Nov. 5, covering work-related data and preventing reset/deletion. Seek preservation confirmation and consensual, scoped collection protocol; preserve company-issued returned Dell laptop before reuse/wipe. Ask custodians to identify work texts/devices and preserve.</w:t>
            </w:r>
          </w:p>
        </w:tc>
      </w:tr>
      <w:tr>
        <w:trPr>
          <w:cantSplit/>
        </w:trPr>
        <w:tc>
          <w:tcPr>
            <w:tcW w:type="dxa" w:w="193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Paper Sales records / physical notes</w:t>
            </w:r>
          </w:p>
        </w:tc>
        <w:tc>
          <w:tcPr>
            <w:tcW w:type="dxa" w:w="288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8th-floor Sales cabinets may contain signed distributor agreements, trade-show notes and printed correspondence; existence/content not confirmed.</w:t>
            </w:r>
          </w:p>
        </w:tc>
        <w:tc>
          <w:tcPr>
            <w:tcW w:type="dxa" w:w="252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No IT inventory or known destruction controls.</w:t>
            </w:r>
          </w:p>
        </w:tc>
        <w:tc>
          <w:tcPr>
            <w:tcW w:type="dxa" w:w="311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Sales leadership to locate and secure; inventory/segregate originals. HR to secure Kovach file. Capture source/location, custodian and date; scan copies while retaining originals.</w:t>
            </w:r>
          </w:p>
        </w:tc>
      </w:tr>
      <w:tr>
        <w:trPr>
          <w:cantSplit/>
        </w:trPr>
        <w:tc>
          <w:tcPr>
            <w:tcW w:type="dxa" w:w="193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Backups, audit logs, voicemail, meetings</w:t>
            </w:r>
          </w:p>
        </w:tc>
        <w:tc>
          <w:tcPr>
            <w:tcW w:type="dxa" w:w="288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Rolling system backups/snapshots (90 days); M365/Salesforce/SAP audit logs; voicemail not systematically archived; meeting recordings/transcripts if any.</w:t>
            </w:r>
          </w:p>
        </w:tc>
        <w:tc>
          <w:tcPr>
            <w:tcW w:type="dxa" w:w="252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Backups may expire; audit-log retention unspecified; voicemail may be deleted under user/system practice.</w:t>
            </w:r>
          </w:p>
        </w:tc>
        <w:tc>
          <w:tcPr>
            <w:tcW w:type="dxa" w:w="311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Preserve remaining backups/snapshots and logs relevant to Aug. 5 onward; identify retention windows and restore feasibility. Preserve extant voicemails, Teams meeting recordings/transcripts, call logs and notes. Backups are not a substitute for source holds.</w:t>
            </w:r>
          </w:p>
        </w:tc>
      </w:tr>
      <w:tr>
        <w:trPr>
          <w:cantSplit/>
        </w:trPr>
        <w:tc>
          <w:tcPr>
            <w:tcW w:type="dxa" w:w="193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Board / counsel / auditor repositories</w:t>
            </w:r>
          </w:p>
        </w:tc>
        <w:tc>
          <w:tcPr>
            <w:tcW w:type="dxa" w:w="288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Audit Committee packets, minutes and correspondence; investigation file; defense file; Nexfield-held Caldwell Thornton communications.</w:t>
            </w:r>
          </w:p>
        </w:tc>
        <w:tc>
          <w:tcPr>
            <w:tcW w:type="dxa" w:w="252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Privilege, governance, and separate engagement sensitivities; SEC request specifically seeks committee and auditor records.</w:t>
            </w:r>
          </w:p>
        </w:tc>
        <w:tc>
          <w:tcPr>
            <w:tcW w:type="dxa" w:w="311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Preserve all material; use separate repositories and counsel-led review before access or production. Maintain native originals and privilege logs/workflows; production only after legal review.</w:t>
            </w:r>
          </w:p>
        </w:tc>
      </w:tr>
    </w:tbl>
    <w:p>
      <w:pPr>
        <w:spacing w:after="0"/>
      </w:pPr>
    </w:p>
    <w:p>
      <w:pPr>
        <w:pStyle w:val="Heading1"/>
      </w:pPr>
      <w:r>
        <w:t>5. Spoliation and Data-Loss Assessment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088"/>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Risk area</w:t>
            </w:r>
          </w:p>
        </w:tc>
        <w:tc>
          <w:tcPr>
            <w:tcW w:type="dxa" w:w="1440"/>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Priority</w:t>
            </w:r>
          </w:p>
        </w:tc>
        <w:tc>
          <w:tcPr>
            <w:tcW w:type="dxa" w:w="3917"/>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Assessment on current record</w:t>
            </w:r>
          </w:p>
        </w:tc>
        <w:tc>
          <w:tcPr>
            <w:tcW w:type="dxa" w:w="2995"/>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Mitigation / investigation</w:t>
            </w:r>
          </w:p>
        </w:tc>
      </w:tr>
      <w:tr>
        <w:trPr>
          <w:cantSplit/>
        </w:trPr>
        <w:tc>
          <w:tcPr>
            <w:tcW w:type="dxa" w:w="208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Teams chat — confirmed active purge; likely past loss</w:t>
            </w:r>
          </w:p>
        </w:tc>
        <w:tc>
          <w:tcPr>
            <w:tcW w:type="dxa" w:w="144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HIGH / immediate</w:t>
            </w:r>
          </w:p>
        </w:tc>
        <w:tc>
          <w:tcPr>
            <w:tcW w:type="dxa" w:w="3917"/>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As of Nov. 6, 90-day policy likely purged server-side chats older than about Aug. 8. If complaints or quarter-end directives were sent by Teams in June/July, the content is likely unavailable in the tenant. The factual record does not establish whether each conversation occurred in chat or in person/by phone.</w:t>
            </w:r>
          </w:p>
        </w:tc>
        <w:tc>
          <w:tcPr>
            <w:tcW w:type="dxa" w:w="299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Stop purge; preserve surviving chats and logs; search Kovach iPhone through counsel; interview custodians about platform/channel and dates; assess permitted recovery from Microsoft/substrate or other copies. Preserve audit metadata although it is not message content.</w:t>
            </w:r>
          </w:p>
        </w:tc>
      </w:tr>
      <w:tr>
        <w:trPr>
          <w:cantSplit/>
        </w:trPr>
        <w:tc>
          <w:tcPr>
            <w:tcW w:type="dxa" w:w="2088"/>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Salesforce inactive records — possible prior permanent deletion</w:t>
            </w:r>
          </w:p>
        </w:tc>
        <w:tc>
          <w:tcPr>
            <w:tcW w:type="dxa" w:w="144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HIGH / immediate</w:t>
            </w:r>
          </w:p>
        </w:tc>
        <w:tc>
          <w:tcPr>
            <w:tcW w:type="dxa" w:w="3917"/>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18-month nightly job active; some FY2023 inactive records may have crossed threshold during 2024; unknown subset deleted. After 15-day recycle window, native recovery unavailable.</w:t>
            </w:r>
          </w:p>
        </w:tc>
        <w:tc>
          <w:tcPr>
            <w:tcW w:type="dxa" w:w="299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Disable job; capture deletion/recycle-bin/audit logs and snapshots; identify deleted account/opportunity IDs and dates; seek vendor/backups/exports and custodian copies. Document records that cannot be recovered.</w:t>
            </w:r>
          </w:p>
        </w:tc>
      </w:tr>
      <w:tr>
        <w:trPr>
          <w:cantSplit/>
        </w:trPr>
        <w:tc>
          <w:tcPr>
            <w:tcW w:type="dxa" w:w="208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Enterprise Vault migration — known archive gaps, relevance unknown</w:t>
            </w:r>
          </w:p>
        </w:tc>
        <w:tc>
          <w:tcPr>
            <w:tcW w:type="dxa" w:w="144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HIGH / prompt</w:t>
            </w:r>
          </w:p>
        </w:tc>
        <w:tc>
          <w:tcPr>
            <w:tcW w:type="dxa" w:w="3917"/>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421 mailboxes had incomplete ingestion. It is unknown whether Kovach, Sokolova, Chen, or other key custodians are affected. Original Exchange source storage was deallocated May 15, before likely hold trigger; missing source items may be unrecoverable.</w:t>
            </w:r>
          </w:p>
        </w:tc>
        <w:tc>
          <w:tcPr>
            <w:tcW w:type="dxa" w:w="299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Cross-reference remediation log; quantify gaps by custodian and date; preserve available migration staging/backups and prior exports; expedite recovery. Do not wait until Q1 2025 remediation project.</w:t>
            </w:r>
          </w:p>
        </w:tc>
      </w:tr>
      <w:tr>
        <w:trPr>
          <w:cantSplit/>
        </w:trPr>
        <w:tc>
          <w:tcPr>
            <w:tcW w:type="dxa" w:w="2088"/>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NXF-FS01 decommission and stale-file deletion</w:t>
            </w:r>
          </w:p>
        </w:tc>
        <w:tc>
          <w:tcPr>
            <w:tcW w:type="dxa" w:w="144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HIGH / deadline Jan. 31, 2025</w:t>
            </w:r>
          </w:p>
        </w:tc>
        <w:tc>
          <w:tcPr>
            <w:tcW w:type="dxa" w:w="3917"/>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No data loss reported yet, but ~40% of Sales files marked stale are not migrating and are slated for deletion; only 35% of Sales migration complete.</w:t>
            </w:r>
          </w:p>
        </w:tc>
        <w:tc>
          <w:tcPr>
            <w:tcW w:type="dxa" w:w="299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Written stop instruction now; make forensic image (preferred) or preserve all relevant shares with metadata, including stale data; extend lease/decommission deadline if required; verify copies before any disposition.</w:t>
            </w:r>
          </w:p>
        </w:tc>
      </w:tr>
      <w:tr>
        <w:trPr>
          <w:cantSplit/>
        </w:trPr>
        <w:tc>
          <w:tcPr>
            <w:tcW w:type="dxa" w:w="208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Kovach personal iPhone / cached data</w:t>
            </w:r>
          </w:p>
        </w:tc>
        <w:tc>
          <w:tcPr>
            <w:tcW w:type="dxa" w:w="144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HIGH / urgent, status unknown</w:t>
            </w:r>
          </w:p>
        </w:tc>
        <w:tc>
          <w:tcPr>
            <w:tcW w:type="dxa" w:w="3917"/>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No MDM, no preservation request at termination, no known reset/deletion status. Local emails/chat cache may be unique surviving copies; device belongs to former employee represented by counsel.</w:t>
            </w:r>
          </w:p>
        </w:tc>
        <w:tc>
          <w:tcPr>
            <w:tcW w:type="dxa" w:w="299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Counsel-to-counsel preservation demand immediately; request written confirmation and preservation without alteration, reset, app deletion, or trade-in. Establish privacy-respecting collection/neutral protocol and chain of custody; no unilateral access or remote action.</w:t>
            </w:r>
          </w:p>
        </w:tc>
      </w:tr>
      <w:tr>
        <w:trPr>
          <w:cantSplit/>
        </w:trPr>
        <w:tc>
          <w:tcPr>
            <w:tcW w:type="dxa" w:w="2088"/>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M365 email / other current custodian data</w:t>
            </w:r>
          </w:p>
        </w:tc>
        <w:tc>
          <w:tcPr>
            <w:tcW w:type="dxa" w:w="144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HIGH / controls unverified</w:t>
            </w:r>
          </w:p>
        </w:tc>
        <w:tc>
          <w:tcPr>
            <w:tcW w:type="dxa" w:w="3917"/>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Seven-year retention does not equal legal hold. Deleted items ordinarily purge after 30 days; no relevant mailbox hold reported as of Nov. 4. Kovach post-April mailbox intact as shared mailbox.</w:t>
            </w:r>
          </w:p>
        </w:tc>
        <w:tc>
          <w:tcPr>
            <w:tcW w:type="dxa" w:w="299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Place holds; confirm scope and status in Compliance Center, including Recoverable Items; preserve mailbox forwarding to Herrera and custodians’ archives; save hold and audit reports.</w:t>
            </w:r>
          </w:p>
        </w:tc>
      </w:tr>
      <w:tr>
        <w:trPr>
          <w:cantSplit/>
        </w:trPr>
        <w:tc>
          <w:tcPr>
            <w:tcW w:type="dxa" w:w="208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Rolling backups / logs / voicemail</w:t>
            </w:r>
          </w:p>
        </w:tc>
        <w:tc>
          <w:tcPr>
            <w:tcW w:type="dxa" w:w="1440"/>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MEDIUM-HIGH / time-sensitive</w:t>
            </w:r>
          </w:p>
        </w:tc>
        <w:tc>
          <w:tcPr>
            <w:tcW w:type="dxa" w:w="3917"/>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Backups retained only 90 days; content may be overwritten; voicemail has no minimum retention; audit log retention not stated. Backups generally not designed as record archives.</w:t>
            </w:r>
          </w:p>
        </w:tc>
        <w:tc>
          <w:tcPr>
            <w:tcW w:type="dxa" w:w="2995"/>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4"/>
              </w:rPr>
              <w:t>Preserve remaining relevant snapshots/logs immediately; document retention period, last expiration, access, restore feasibility. Ask custodians to retain extant voicemail and recordings.</w:t>
            </w:r>
          </w:p>
        </w:tc>
      </w:tr>
      <w:tr>
        <w:trPr>
          <w:cantSplit/>
        </w:trPr>
        <w:tc>
          <w:tcPr>
            <w:tcW w:type="dxa" w:w="2088"/>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Paper and local/nonstandard records</w:t>
            </w:r>
          </w:p>
        </w:tc>
        <w:tc>
          <w:tcPr>
            <w:tcW w:type="dxa" w:w="1440"/>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MEDIUM / unknown</w:t>
            </w:r>
          </w:p>
        </w:tc>
        <w:tc>
          <w:tcPr>
            <w:tcW w:type="dxa" w:w="3917"/>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Sales paper records are unverified; local drives, personal email/cloud or removable media may not be captured by central systems.</w:t>
            </w:r>
          </w:p>
        </w:tc>
        <w:tc>
          <w:tcPr>
            <w:tcW w:type="dxa" w:w="2995"/>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4"/>
              </w:rPr>
              <w:t>Custodian notices must ask specifically about home offices, personal devices, texts, paper, USB/local drives and personal cloud/email used for business; preserve and report locations to Legal.</w:t>
            </w:r>
          </w:p>
        </w:tc>
      </w:tr>
    </w:tbl>
    <w:p>
      <w:pPr>
        <w:spacing w:after="0"/>
      </w:pPr>
    </w:p>
    <w:p>
      <w:r>
        <w:rPr>
          <w:i w:val="0"/>
        </w:rPr>
        <w:t>Key distinction. Some possible losses (Teams purge; Salesforce deletions; Enterprise Vault ingestion gaps) may predate or overlap the preservation gap, but their date, relevance, and recoverability are not fully established. The available materials do not establish intentional destruction. Preserve surviving evidence, investigate promptly, and keep a factual log of what is known, what remains uncertain, recovery steps, and their results. Counsel should assess any disclosure or remedial steps after confirming facts; this memo does not determine sanctions or privilege waiver.</w:t>
      </w:r>
    </w:p>
    <w:p>
      <w:pPr>
        <w:pStyle w:val="Heading1"/>
      </w:pPr>
      <w:r>
        <w:t>6. Unified Hold Administration and Preservation Workplan</w:t>
      </w:r>
    </w:p>
    <w:p>
      <w:pPr>
        <w:keepLines/>
      </w:pPr>
      <w:r>
        <w:rPr>
          <w:b/>
        </w:rPr>
        <w:t xml:space="preserve">Issue notice now. </w:t>
      </w:r>
      <w:r>
        <w:t>GC/Legal should send one written umbrella notice to confirmed custodians and IT, with KOV-EMP and SEC-RR scope tags. Include the hold’s trigger/matter description, dates, categories, explicit no-delete/no-alter instructions, personal-device/nonstandard-location questions, Legal contact, and 48-hour acknowledgment requirement under Company policy. Maintain date/method/acknowledgment log; issue targeted supplements when additional custodians are identified.</w:t>
      </w:r>
    </w:p>
    <w:p>
      <w:pPr>
        <w:keepLines/>
      </w:pPr>
      <w:r>
        <w:rPr>
          <w:b/>
        </w:rPr>
        <w:t xml:space="preserve">Stop automatic deletion before collection. </w:t>
      </w:r>
      <w:r>
        <w:t>IT (Craig Novotny, Priya Dasgupta, Salesforce admin) to suspend Teams chat purge and Salesforce inactive-record batch deletion immediately; implement M365 custodian holds; block relevant file-server cleanup and server retirement. Confirm each control in writing with time, settings, scope, operator, and validation evidence.</w:t>
      </w:r>
    </w:p>
    <w:p>
      <w:pPr>
        <w:keepLines/>
      </w:pPr>
      <w:r>
        <w:rPr>
          <w:b/>
        </w:rPr>
        <w:t xml:space="preserve">Preserve high-risk sources. </w:t>
      </w:r>
      <w:r>
        <w:t>Ridgeway and IT to preserve M365/Teams and Enterprise Vault with defensible exports/images; cross-reference the 421-mailbox remediation log; image NXF-FS01 before Jan. 31; export and snapshot Salesforce before relevant deletion; coordinate targeted SAP extracts. Preserve data in native form and maintain hashes, source IDs, metadata, access logs, and chain-of-custody records.</w:t>
      </w:r>
    </w:p>
    <w:p>
      <w:pPr>
        <w:keepLines/>
      </w:pPr>
      <w:r>
        <w:rPr>
          <w:b/>
        </w:rPr>
        <w:t xml:space="preserve">Address former-employee data. </w:t>
      </w:r>
      <w:r>
        <w:t>Pinnacle Hartwell to send the agreed notice to Stadler Raines promptly. Request preservation of Kovach’s iPhone and all work-related communications/files, including local cache, SMS/texts and app data. Seek written acknowledgment and a reasonable scoped collection protocol. Separately preserve the returned Dell laptop, corporate account data, and available copies from Herrera’s forwarding period.</w:t>
      </w:r>
    </w:p>
    <w:p>
      <w:pPr>
        <w:keepLines/>
      </w:pPr>
      <w:r>
        <w:rPr>
          <w:b/>
        </w:rPr>
        <w:t xml:space="preserve">Verify custodian universe. </w:t>
      </w:r>
      <w:r>
        <w:t>Kevin/Legal with Sales, Finance, HR, IT and Corporate Secretary to complete names for all six territory leads, three Sales Operations staff, relevant finance/revenue/returns personnel, Audit Committee members/secretary, auditor contacts, and system administrators. Record why each is in/out and whether relevant systems are under Company control.</w:t>
      </w:r>
    </w:p>
    <w:p>
      <w:pPr>
        <w:keepLines/>
      </w:pPr>
      <w:r>
        <w:rPr>
          <w:b/>
        </w:rPr>
        <w:t xml:space="preserve">Collect and review in separate matter tracks. </w:t>
      </w:r>
      <w:r>
        <w:t>Ridgeway should collect common core evidence once where efficient, tag it to both matters, and maintain distinct access and review sets. Legal/counsel—not business users—decides relevance, privilege, responsiveness, and production. Do not commingle the Audit Committee investigation engagement with the later GC-directed defense file.</w:t>
      </w:r>
    </w:p>
    <w:p>
      <w:pPr>
        <w:keepLines/>
      </w:pPr>
      <w:r>
        <w:rPr>
          <w:b/>
        </w:rPr>
        <w:t xml:space="preserve">Monitor and certify. </w:t>
      </w:r>
      <w:r>
        <w:t>Send periodic reminders at least quarterly and after material scope changes; obtain written custodian acknowledgments and follow-up confirmations. Reconcile hold recipients against HR departures, account deactivations, device refreshes, system changes, exports and backup rotations. Only GC/Associate GC may release the hold after all matters and appeal/response duties are resolved.</w:t>
      </w:r>
    </w:p>
    <w:p>
      <w:pPr>
        <w:pStyle w:val="Heading1"/>
      </w:pPr>
      <w:r>
        <w:t>7. Special Coordination: Audit Committee, Privilege, and SEC Response</w:t>
      </w:r>
    </w:p>
    <w:p>
      <w:r>
        <w:rPr>
          <w:i w:val="0"/>
        </w:rPr>
        <w:t>Marcus Ainsley must be included as a custodian. His receipt of Kovach’s August 5 letter, response, and direction of the Audit Committee investigation are relevant; the SEC specifically requests board and committee materials. Do not omit him because his records may contain privileged material. Instead, preserve first and apply counsel-controlled review:</w:t>
      </w:r>
    </w:p>
    <w:p>
      <w:pPr>
        <w:pStyle w:val="ListBullet"/>
        <w:keepLines/>
      </w:pPr>
      <w:r>
        <w:t>Pinnacle Hartwell should coordinate a separate Ainsley collection with a defined protocol and restricted repository. Preserve the original complaint email/PDF, factual routing/receipt materials, Audit Committee materials, meeting notices/minutes, and all related communications, including counsel communications.</w:t>
      </w:r>
    </w:p>
    <w:p>
      <w:pPr>
        <w:pStyle w:val="ListBullet"/>
        <w:keepLines/>
      </w:pPr>
      <w:r>
        <w:t>Use an initial factual/non-privileged review track and a separate potential-privilege/work-product track. This is a workflow distinction, not a conclusion that any particular document is privileged. No documents should be withheld from preservation or altered while the privilege review is pending.</w:t>
      </w:r>
    </w:p>
    <w:p>
      <w:pPr>
        <w:pStyle w:val="ListBullet"/>
        <w:keepLines/>
      </w:pPr>
      <w:r>
        <w:t>The Audit Committee investigation (Pinnacle Hartwell, August 20–October 10, at Ainsley’s direction) and the defense engagement (Pinnacle Hartwell, October 18 onward, at GC direction) are distinct engagements. Preserve files separately; limit access and sharing to personnel with a genuine need to know; consult counsel before transferring or reusing interview notes, advice, or work product. Privilege is not assured merely by labeling material, and any production requires document-level review.</w:t>
      </w:r>
    </w:p>
    <w:p>
      <w:pPr>
        <w:pStyle w:val="ListBullet"/>
        <w:keepLines/>
      </w:pPr>
      <w:r>
        <w:t>Preserve and review relevant communications with Caldwell Thornton &amp; Associates LLP in a counsel-led process. The outside auditor’s own files may not be Company-controlled; identify Company-held copies and coordinate any auditor communication through authorized counsel/Audit Committee channels.</w:t>
      </w:r>
    </w:p>
    <w:p>
      <w:r>
        <w:rPr>
          <w:i w:val="0"/>
        </w:rPr>
        <w:t>SEC coordination. The October 28 letter requests voluntary production by November 27, 2024. Legal should map each request category to custodians and systems, preserve the original exports and collection history, and maintain a production log. Any response or production should be counsel-reviewed for scope, accuracy, confidentiality, and privilege; a consolidated hold does not merge privilege positions or authorize disclosure in either matter.</w:t>
      </w:r>
    </w:p>
    <w:p>
      <w:pPr>
        <w:pStyle w:val="Heading1"/>
      </w:pPr>
      <w:r>
        <w:t>8. Roles, Owners, and Near-Term Milestones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952"/>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Owner</w:t>
            </w:r>
          </w:p>
        </w:tc>
        <w:tc>
          <w:tcPr>
            <w:tcW w:type="dxa" w:w="7488"/>
            <w:vAlign w:val="top"/>
            <w:tcMar>
              <w:top w:w="65" w:type="dxa"/>
              <w:start w:w="75" w:type="dxa"/>
              <w:bottom w:w="65" w:type="dxa"/>
              <w:end w:w="75" w:type="dxa"/>
            </w:tcMar>
            <w:shd w:fill="17365D"/>
          </w:tcPr>
          <w:p>
            <w:pPr>
              <w:widowControl/>
              <w:spacing w:after="0" w:line="240" w:lineRule="auto"/>
            </w:pPr>
            <w:r>
              <w:rPr>
                <w:rFonts w:ascii="Arial" w:hAnsi="Arial"/>
              </w:rPr>
            </w:r>
            <w:r>
              <w:rPr>
                <w:rFonts w:ascii="Arial" w:hAnsi="Arial"/>
                <w:b/>
                <w:color w:val="FFFFFF"/>
                <w:sz w:val="16"/>
              </w:rPr>
              <w:t>Immediate responsibility</w:t>
            </w:r>
          </w:p>
        </w:tc>
      </w:tr>
      <w:tr>
        <w:trPr>
          <w:cantSplit/>
        </w:trPr>
        <w:tc>
          <w:tcPr>
            <w:tcW w:type="dxa" w:w="2952"/>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Monica Tran-Nguyen / Kevin Brashear — Legal</w:t>
            </w:r>
          </w:p>
        </w:tc>
        <w:tc>
          <w:tcPr>
            <w:tcW w:type="dxa" w:w="748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Issue hold; finalize custodians/scope; maintain hold log; make privilege, scope, and regulator-response decisions; verify no prior notices/holds from Legal records.</w:t>
            </w:r>
          </w:p>
        </w:tc>
      </w:tr>
      <w:tr>
        <w:trPr>
          <w:cantSplit/>
        </w:trPr>
        <w:tc>
          <w:tcPr>
            <w:tcW w:type="dxa" w:w="2952"/>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Sarah Drummond / Pinnacle Hartwell</w:t>
            </w:r>
          </w:p>
        </w:tc>
        <w:tc>
          <w:tcPr>
            <w:tcW w:type="dxa" w:w="7488"/>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Immediately send Kovach counsel preservation demand; direct Ainsley protocol; coordinate separate engagement files and SEC/Kovach counsel strategy.</w:t>
            </w:r>
          </w:p>
        </w:tc>
      </w:tr>
      <w:tr>
        <w:trPr>
          <w:cantSplit/>
        </w:trPr>
        <w:tc>
          <w:tcPr>
            <w:tcW w:type="dxa" w:w="2952"/>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Craig Novotny / Priya Dasgupta / Derek Halverson — IT</w:t>
            </w:r>
          </w:p>
        </w:tc>
        <w:tc>
          <w:tcPr>
            <w:tcW w:type="dxa" w:w="748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Stop Teams purge and Salesforce batch job; implement M365 holds; secure Enterprise Vault and file server; preserve configurations, audit and migration records; confirm controls in writing.</w:t>
            </w:r>
          </w:p>
        </w:tc>
      </w:tr>
      <w:tr>
        <w:trPr>
          <w:cantSplit/>
        </w:trPr>
        <w:tc>
          <w:tcPr>
            <w:tcW w:type="dxa" w:w="2952"/>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Ridgeway Forensics Group</w:t>
            </w:r>
          </w:p>
        </w:tc>
        <w:tc>
          <w:tcPr>
            <w:tcW w:type="dxa" w:w="7488"/>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Validate eDiscovery holds and retention behavior; defensible collections/images; Salesforce/SAP/file-server support; source inventories, hash logs, chain of custody, gap/recovery assessment.</w:t>
            </w:r>
          </w:p>
        </w:tc>
      </w:tr>
      <w:tr>
        <w:trPr>
          <w:cantSplit/>
        </w:trPr>
        <w:tc>
          <w:tcPr>
            <w:tcW w:type="dxa" w:w="2952"/>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Janet Purdy / HR</w:t>
            </w:r>
          </w:p>
        </w:tc>
        <w:tc>
          <w:tcPr>
            <w:tcW w:type="dxa" w:w="748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Secure and label personnel-file originals; preserve SuccessFactors and HR communications; identify HRIS records and all PIP/termination source materials.</w:t>
            </w:r>
          </w:p>
        </w:tc>
      </w:tr>
      <w:tr>
        <w:trPr>
          <w:cantSplit/>
        </w:trPr>
        <w:tc>
          <w:tcPr>
            <w:tcW w:type="dxa" w:w="2952"/>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Sokolova / Chen / Herrera / Sales &amp; Finance leads</w:t>
            </w:r>
          </w:p>
        </w:tc>
        <w:tc>
          <w:tcPr>
            <w:tcW w:type="dxa" w:w="7488"/>
            <w:vAlign w:val="top"/>
            <w:tcMar>
              <w:top w:w="65" w:type="dxa"/>
              <w:start w:w="75" w:type="dxa"/>
              <w:bottom w:w="65" w:type="dxa"/>
              <w:end w:w="75" w:type="dxa"/>
            </w:tcMar>
            <w:shd w:fill="F2F5F8"/>
          </w:tcPr>
          <w:p>
            <w:pPr>
              <w:widowControl/>
              <w:spacing w:after="0" w:line="240" w:lineRule="auto"/>
            </w:pPr>
            <w:r>
              <w:rPr>
                <w:rFonts w:ascii="Arial" w:hAnsi="Arial"/>
              </w:rPr>
            </w:r>
            <w:r>
              <w:rPr>
                <w:rFonts w:ascii="Arial" w:hAnsi="Arial"/>
                <w:b w:val="0"/>
                <w:color w:val="232A32"/>
                <w:sz w:val="16"/>
              </w:rPr>
              <w:t>Identify additional custodians; preserve revenue, pipeline, shipping/return, reserve, and distributor records; support targeted exports without editing source data.</w:t>
            </w:r>
          </w:p>
        </w:tc>
      </w:tr>
      <w:tr>
        <w:trPr>
          <w:cantSplit/>
        </w:trPr>
        <w:tc>
          <w:tcPr>
            <w:tcW w:type="dxa" w:w="2952"/>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Corporate Secretary / Ainsley protocol lead</w:t>
            </w:r>
          </w:p>
        </w:tc>
        <w:tc>
          <w:tcPr>
            <w:tcW w:type="dxa" w:w="7488"/>
            <w:vAlign w:val="top"/>
            <w:tcMar>
              <w:top w:w="65" w:type="dxa"/>
              <w:start w:w="75" w:type="dxa"/>
              <w:bottom w:w="65" w:type="dxa"/>
              <w:end w:w="75" w:type="dxa"/>
            </w:tcMar>
          </w:tcPr>
          <w:p>
            <w:pPr>
              <w:widowControl/>
              <w:spacing w:after="0" w:line="240" w:lineRule="auto"/>
            </w:pPr>
            <w:r>
              <w:rPr>
                <w:rFonts w:ascii="Arial" w:hAnsi="Arial"/>
              </w:rPr>
            </w:r>
            <w:r>
              <w:rPr>
                <w:rFonts w:ascii="Arial" w:hAnsi="Arial"/>
                <w:b w:val="0"/>
                <w:color w:val="232A32"/>
                <w:sz w:val="16"/>
              </w:rPr>
              <w:t>Identify Audit Committee custodians, minutes, packets and record locations; facilitate controlled preservation and counsel-only privilege workflow.</w:t>
            </w:r>
          </w:p>
        </w:tc>
      </w:tr>
    </w:tbl>
    <w:p>
      <w:pPr>
        <w:spacing w:after="0"/>
      </w:pPr>
    </w:p>
    <w:p>
      <w:pPr>
        <w:pStyle w:val="Heading2"/>
      </w:pPr>
      <w:r>
        <w:t>Immediate milestones</w:t>
      </w:r>
    </w:p>
    <w:p>
      <w:pPr>
        <w:pStyle w:val="ListBullet"/>
        <w:keepLines/>
      </w:pPr>
      <w:r>
        <w:t>Today (November 8): issue umbrella hold; send Kovach device preservation demand through counsel; suspend Teams and Salesforce deletion; hold M365; freeze NXF-FS01 cleanup; secure HR and Sales paper records; preserve remaining backups, audit logs, and deletion/migration records.</w:t>
      </w:r>
    </w:p>
    <w:p>
      <w:pPr>
        <w:pStyle w:val="ListBullet"/>
        <w:keepLines/>
      </w:pPr>
      <w:r>
        <w:t>Within 24–48 hours: written IT confirmation and validation of controls; custodian acknowledgments; list of named additional custodians; Enterprise Vault 421-mailbox cross-reference initiated; Salesforce deletion/recovery report commissioned; NXF-FS01 image plan and date approved.</w:t>
      </w:r>
    </w:p>
    <w:p>
      <w:pPr>
        <w:pStyle w:val="ListBullet"/>
        <w:keepLines/>
      </w:pPr>
      <w:r>
        <w:t>Before January 31, 2025: complete forensic image or defensible preservation of all relevant NXF-FS01 shares, including stale files, and confirm no original data is destroyed until Legal approval.</w:t>
      </w:r>
    </w:p>
    <w:p>
      <w:pPr>
        <w:pStyle w:val="ListBullet"/>
        <w:keepLines/>
      </w:pPr>
      <w:r>
        <w:t>By November 27, 2024: counsel to manage SEC response timing and production planning. Separately address the missed November 2 response date in the October 3 demand letter.</w:t>
      </w:r>
    </w:p>
    <w:p>
      <w:pPr>
        <w:pStyle w:val="Heading1"/>
      </w:pPr>
      <w:r>
        <w:t>Conclusion</w:t>
      </w:r>
    </w:p>
    <w:p>
      <w:r>
        <w:rPr>
          <w:i w:val="0"/>
        </w:rPr>
        <w:t>The existing information systems and deletion settings present immediate, concrete preservation risks. Issue the hold and implement technical controls now, while promptly investigating the extent of any prior loss. Use one coordinated hold for efficiency, but preserve the distinction between the employment dispute, SEC inquiry, Audit Committee investigation, and defense engagement in custodian scope, access, privilege review, and production. Maintain a contemporaneous record of preservation decisions and confirmations.</w:t>
      </w:r>
    </w:p>
    <w:p>
      <w:pPr>
        <w:keepLines/>
        <w:spacing w:before="160"/>
      </w:pPr>
      <w:r>
        <w:rPr>
          <w:b/>
          <w:color w:val="962323"/>
        </w:rPr>
        <w:t xml:space="preserve">CONFIDENTIALITY: </w:t>
      </w:r>
      <w:r>
        <w:t>Prepared for Nexfield’s Legal Department and outside counsel. Limit distribution to those with a need to know. This memorandum recommends preservation actions; issue separate hold notices to custodians and do not treat this memorandum itself as a custodian notice.</w:t>
      </w:r>
    </w:p>
    <w:sectPr w:rsidR="00FC693F" w:rsidRPr="0006063C" w:rsidSect="00034616">
      <w:headerReference w:type="default" r:id="rId9"/>
      <w:footerReference w:type="default" r:id="rId10"/>
      <w:pgSz w:w="12240" w:h="15840"/>
      <w:pgMar w:top="979" w:right="1123" w:bottom="979"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color w:val="5A646E"/>
        <w:sz w:val="15"/>
      </w:rPr>
      <w:t xml:space="preserve">PRIVILEGED &amp; CONFIDENTIAL  •  ATTORNEY WORK PRODUCT     |     </w:t>
    </w:r>
    <w:r>
      <w:rPr>
        <w:rFonts w:ascii="Arial" w:hAnsi="Arial"/>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A646E"/>
        <w:sz w:val="15"/>
      </w:rPr>
      <w:t>NEXFIELD INDUSTRIAL SOLUTIONS, INC.  |  LEGAL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232A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187"/>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60" w:hanging="187"/>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Litigation Hold and Preservation Coordination Memorandum</dc:title>
  <dc:subject>Kovach claims and SEC informal inquiry</dc:subject>
  <dc:creator>Nexfield Industrial Solutions, Inc. — Legal Department</dc:creator>
  <cp:keywords>privileged, litigation hold, preservation, Kovach, SEC</cp:keywords>
  <dc:description>generated by python-docx</dc:description>
  <cp:lastModifiedBy/>
  <cp:revision>1</cp:revision>
  <dcterms:created xsi:type="dcterms:W3CDTF">2013-12-23T23:15:00Z</dcterms:created>
  <dcterms:modified xsi:type="dcterms:W3CDTF">2013-12-23T23:15:00Z</dcterms:modified>
  <cp:category/>
</cp:coreProperties>
</file>