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2"/>
        </w:rPr>
        <w:t>MEMORANDUM</w:t>
      </w:r>
    </w:p>
    <w:p>
      <w:pPr>
        <w:spacing w:after="120"/>
        <w:jc w:val="center"/>
      </w:pPr>
      <w:r>
        <w:rPr>
          <w:i/>
        </w:rPr>
        <w:t>Nexfield Industrial Solutions, Inc. — Legal Department</w:t>
      </w:r>
    </w:p>
    <w:tbl>
      <w:tblPr>
        <w:tblW w:type="auto" w:w="0"/>
        <w:tblLook w:firstColumn="1" w:firstRow="1" w:lastColumn="0" w:lastRow="0" w:noHBand="0" w:noVBand="1" w:val="04A0"/>
      </w:tblPr>
      <w:tblGrid>
        <w:gridCol w:w="4680"/>
        <w:gridCol w:w="4680"/>
      </w:tblGrid>
      <w:tr>
        <w:tc>
          <w:tcPr>
            <w:tcW w:type="dxa" w:w="2448"/>
          </w:tcPr>
          <w:p>
            <w:r/>
            <w:r>
              <w:rPr>
                <w:b/>
              </w:rPr>
              <w:t>TO:</w:t>
            </w:r>
          </w:p>
        </w:tc>
        <w:tc>
          <w:tcPr>
            <w:tcW w:type="dxa" w:w="6912"/>
          </w:tcPr>
          <w:p>
            <w:r>
              <w:t>Monica Tran-Nguyen, Deputy General Counsel</w:t>
            </w:r>
          </w:p>
        </w:tc>
      </w:tr>
      <w:tr>
        <w:tc>
          <w:tcPr>
            <w:tcW w:type="dxa" w:w="2448"/>
          </w:tcPr>
          <w:p>
            <w:r/>
            <w:r>
              <w:rPr>
                <w:b/>
              </w:rPr>
              <w:t>FROM:</w:t>
            </w:r>
          </w:p>
        </w:tc>
        <w:tc>
          <w:tcPr>
            <w:tcW w:type="dxa" w:w="6912"/>
          </w:tcPr>
          <w:p>
            <w:r>
              <w:t>Kevin Brashear, Associate General Counsel</w:t>
            </w:r>
          </w:p>
        </w:tc>
      </w:tr>
      <w:tr>
        <w:tc>
          <w:tcPr>
            <w:tcW w:type="dxa" w:w="2448"/>
          </w:tcPr>
          <w:p>
            <w:r/>
            <w:r>
              <w:rPr>
                <w:b/>
              </w:rPr>
              <w:t>CC (after your review):</w:t>
            </w:r>
          </w:p>
        </w:tc>
        <w:tc>
          <w:tcPr>
            <w:tcW w:type="dxa" w:w="6912"/>
          </w:tcPr>
          <w:p>
            <w:r>
              <w:t>Sarah Drummond, Partner, Pinnacle Hartwell LLP</w:t>
            </w:r>
          </w:p>
        </w:tc>
      </w:tr>
      <w:tr>
        <w:tc>
          <w:tcPr>
            <w:tcW w:type="dxa" w:w="2448"/>
          </w:tcPr>
          <w:p>
            <w:r/>
            <w:r>
              <w:rPr>
                <w:b/>
              </w:rPr>
              <w:t>DATE:</w:t>
            </w:r>
          </w:p>
        </w:tc>
        <w:tc>
          <w:tcPr>
            <w:tcW w:type="dxa" w:w="6912"/>
          </w:tcPr>
          <w:p>
            <w:r>
              <w:t>Friday, November 8, 2024</w:t>
            </w:r>
          </w:p>
        </w:tc>
      </w:tr>
      <w:tr>
        <w:tc>
          <w:tcPr>
            <w:tcW w:type="dxa" w:w="2448"/>
          </w:tcPr>
          <w:p>
            <w:r/>
            <w:r>
              <w:rPr>
                <w:b/>
              </w:rPr>
              <w:t>RE:</w:t>
            </w:r>
          </w:p>
        </w:tc>
        <w:tc>
          <w:tcPr>
            <w:tcW w:type="dxa" w:w="6912"/>
          </w:tcPr>
          <w:p>
            <w:r>
              <w:t>Consolidated Litigation Hold — Kovach Whistleblower Matter and SEC Informal Inquiry (Revenue Recognition, Q1–Q3 2024): Custodian Identification, Data Sources, Spoliation Risk, and Preservation Coordination</w:t>
            </w:r>
          </w:p>
        </w:tc>
      </w:tr>
    </w:tbl>
    <w:p/>
    <w:p>
      <w:pPr>
        <w:pStyle w:val="Heading1"/>
      </w:pPr>
      <w:r>
        <w:t>I. Bottom Line</w:t>
      </w:r>
    </w:p>
    <w:p>
      <w:pPr>
        <w:spacing w:after="120"/>
      </w:pPr>
      <w:r>
        <w:rPr>
          <w:i w:val="0"/>
        </w:rPr>
        <w:t>We have two overlapping preservation obligations: the Kovach SOX § 806 / Sabine Pilot claims and the SEC Division of Enforcement informal inquiry. As of today, November 8, 2024, no legal hold has been issued to any custodian, and no eDiscovery hold or suspension of automated deletion is in place in any Nexfield system. That is true even though the duty to preserve attached at least eight weeks ago and probably thirteen. Four automated processes that destroy data are still running: the Teams chat 90-day purge, the Teams channel 1-year purge, the Salesforce 18-month inactive-record deletion, and the 90-day rolling backup rotation. A fifth event, the NXF-FS01 decommissioning with deletion of "stale" files, is scheduled for January 31, 2025.</w:t>
      </w:r>
    </w:p>
    <w:p>
      <w:pPr>
        <w:spacing w:after="120"/>
      </w:pPr>
      <w:r>
        <w:rPr>
          <w:i w:val="0"/>
        </w:rPr>
        <w:t>My conclusions:</w:t>
      </w:r>
    </w:p>
    <w:p>
      <w:pPr>
        <w:pStyle w:val="ListBullet"/>
        <w:spacing w:after="60"/>
      </w:pPr>
      <w:r>
        <w:rPr>
          <w:b/>
        </w:rPr>
        <w:t xml:space="preserve">Unified hold. </w:t>
      </w:r>
      <w:r>
        <w:rPr>
          <w:i w:val="0"/>
        </w:rPr>
        <w:t>One consolidated hold covering both matters, issued today. It should use one custodian list and one data-source inventory, each tagged by matter (Kovach, SEC, or both). You approved this approach in your November 5 and 7 emails.</w:t>
      </w:r>
    </w:p>
    <w:p>
      <w:pPr>
        <w:pStyle w:val="ListBullet"/>
        <w:spacing w:after="60"/>
      </w:pPr>
      <w:r>
        <w:rPr>
          <w:b/>
        </w:rPr>
        <w:t xml:space="preserve">Custodians. </w:t>
      </w:r>
      <w:r>
        <w:rPr>
          <w:i w:val="0"/>
        </w:rPr>
        <w:t>We need 18 custodians right away (Tier 1 and Tier 2), plus a Tier 3 group of about 20 more. Four interviewees from Nathan Cross's investigation who had nothing to do with the termination should be on the list: Collings, Muñoz, Patwardhan, and Jessup. Marcus Ainsley must be a custodian, under the special protocol in Section VI.</w:t>
      </w:r>
    </w:p>
    <w:p>
      <w:pPr>
        <w:pStyle w:val="ListBullet"/>
        <w:spacing w:after="60"/>
      </w:pPr>
      <w:r>
        <w:rPr>
          <w:b/>
        </w:rPr>
        <w:t xml:space="preserve">Spoliation exposure. </w:t>
      </w:r>
      <w:r>
        <w:rPr>
          <w:i w:val="0"/>
        </w:rPr>
        <w:t>Data has almost certainly already been lost. Every Teams 1:1 and group chat created before about August 10, 2024 has been permanently purged. That includes the whole period covering Kovach's three verbal complaints (June 14, June 28, July 2), the July 2–15 window between his second complaint and the PIP (which Stadler Raines specifically demanded we preserve), and the Q2 quarter-end. If the hold had issued on August 5, all of those chats would have survived. Other losses are likely or possible: Salesforce records deleted by the nightly batch since August, on-premises backups, and anything a custodian hard-deleted. Section V quantifies this.</w:t>
      </w:r>
    </w:p>
    <w:p>
      <w:pPr>
        <w:pStyle w:val="ListBullet"/>
        <w:spacing w:after="60"/>
      </w:pPr>
      <w:r>
        <w:rPr>
          <w:b/>
        </w:rPr>
        <w:t xml:space="preserve">The loss is still happening. </w:t>
      </w:r>
      <w:r>
        <w:rPr>
          <w:i w:val="0"/>
        </w:rPr>
        <w:t>Q3 2024 quarter-end chats from the last ten business days of September are still on the server. They will start purging around December 16, 2024, and some of them are directly responsive to SEC Request 5. If the Teams hold slips by a few more weeks, we will have made the problem worse ourselves after receiving both the demand letter and the SEC letter. That would be very hard to defend under FRCP 37(e) and in front of the Staff.</w:t>
      </w:r>
    </w:p>
    <w:p>
      <w:pPr>
        <w:pStyle w:val="ListBullet"/>
        <w:spacing w:after="60"/>
      </w:pPr>
      <w:r>
        <w:rPr>
          <w:b/>
        </w:rPr>
        <w:t xml:space="preserve">Immediate asks. </w:t>
      </w:r>
      <w:r>
        <w:rPr>
          <w:i w:val="0"/>
        </w:rPr>
        <w:t>Section VIII lists 12 actions for the next 72 hours. The most urgent is authorizing Priya Dasgupta (M365) and Ridgeway to place tenant-level preservation on Teams and custodian holds in the M365 Compliance Center today.</w:t>
      </w:r>
    </w:p>
    <w:p>
      <w:pPr>
        <w:pStyle w:val="Heading1"/>
      </w:pPr>
      <w:r>
        <w:t>II. Background and Preservation Trigger Timeline</w:t>
      </w:r>
    </w:p>
    <w:p>
      <w:pPr>
        <w:spacing w:after="120"/>
      </w:pPr>
      <w:r>
        <w:rPr>
          <w:i w:val="0"/>
        </w:rPr>
        <w:t>You asked me to state plainly when preservation should have started compared with when it actually did. The table below lists every event that bears on the trigger. "Policy trigger" refers to the illustrative triggering events in § 4.1 of our own Document Retention and Destruction Policy (NXFD-CORP-POL-007). Opposing counsel and the Staff will read that policy against us.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440"/>
            <w:shd w:val="clear" w:color="auto" w:fill="1F3A5F"/>
          </w:tcPr>
          <w:p>
            <w:r/>
            <w:r>
              <w:rPr>
                <w:b/>
                <w:color w:val="FFFFFF"/>
                <w:sz w:val="18"/>
              </w:rPr>
              <w:t>Date</w:t>
            </w:r>
          </w:p>
        </w:tc>
        <w:tc>
          <w:tcPr>
            <w:tcW w:type="dxa" w:w="2736"/>
            <w:shd w:val="clear" w:color="auto" w:fill="1F3A5F"/>
          </w:tcPr>
          <w:p>
            <w:r/>
            <w:r>
              <w:rPr>
                <w:b/>
                <w:color w:val="FFFFFF"/>
                <w:sz w:val="18"/>
              </w:rPr>
              <w:t>Event</w:t>
            </w:r>
          </w:p>
        </w:tc>
        <w:tc>
          <w:tcPr>
            <w:tcW w:type="dxa" w:w="3312"/>
            <w:shd w:val="clear" w:color="auto" w:fill="1F3A5F"/>
          </w:tcPr>
          <w:p>
            <w:r/>
            <w:r>
              <w:rPr>
                <w:b/>
                <w:color w:val="FFFFFF"/>
                <w:sz w:val="18"/>
              </w:rPr>
              <w:t>Preservation significance</w:t>
            </w:r>
          </w:p>
        </w:tc>
        <w:tc>
          <w:tcPr>
            <w:tcW w:type="dxa" w:w="1872"/>
            <w:shd w:val="clear" w:color="auto" w:fill="1F3A5F"/>
          </w:tcPr>
          <w:p>
            <w:r/>
            <w:r>
              <w:rPr>
                <w:b/>
                <w:color w:val="FFFFFF"/>
                <w:sz w:val="18"/>
              </w:rPr>
              <w:t>Teams chats still recoverable on that date (90-day look-back)</w:t>
            </w:r>
          </w:p>
        </w:tc>
      </w:tr>
      <w:tr>
        <w:tc>
          <w:tcPr>
            <w:tcW w:type="dxa" w:w="1440"/>
          </w:tcPr>
          <w:p>
            <w:r/>
            <w:r>
              <w:rPr>
                <w:sz w:val="18"/>
              </w:rPr>
              <w:t>Feb 2023</w:t>
            </w:r>
          </w:p>
        </w:tc>
        <w:tc>
          <w:tcPr>
            <w:tcW w:type="dxa" w:w="2736"/>
          </w:tcPr>
          <w:p>
            <w:r/>
            <w:r>
              <w:rPr>
                <w:sz w:val="18"/>
              </w:rPr>
              <w:t>Teams chat 90-day and channel 1-year retention configured "to manage cloud storage costs"</w:t>
            </w:r>
          </w:p>
        </w:tc>
        <w:tc>
          <w:tcPr>
            <w:tcW w:type="dxa" w:w="3312"/>
          </w:tcPr>
          <w:p>
            <w:r/>
            <w:r>
              <w:rPr>
                <w:sz w:val="18"/>
              </w:rPr>
              <w:t>Policy § 3.6 requires cloud retention settings to match the retention schedules. A 90-day chat purge is hard to reconcile with 3- to 7-year retention for sales, revenue, and correspondence records.</w:t>
            </w:r>
          </w:p>
        </w:tc>
        <w:tc>
          <w:tcPr>
            <w:tcW w:type="dxa" w:w="1872"/>
          </w:tcPr>
          <w:p>
            <w:r/>
            <w:r>
              <w:rPr>
                <w:sz w:val="18"/>
              </w:rPr>
              <w:t>—</w:t>
            </w:r>
          </w:p>
        </w:tc>
      </w:tr>
      <w:tr>
        <w:tc>
          <w:tcPr>
            <w:tcW w:type="dxa" w:w="1440"/>
          </w:tcPr>
          <w:p>
            <w:r/>
            <w:r>
              <w:rPr>
                <w:sz w:val="18"/>
              </w:rPr>
              <w:t>Apr 1 / Apr 18 / May 15, 2024</w:t>
            </w:r>
          </w:p>
        </w:tc>
        <w:tc>
          <w:tcPr>
            <w:tcW w:type="dxa" w:w="2736"/>
          </w:tcPr>
          <w:p>
            <w:r/>
            <w:r>
              <w:rPr>
                <w:sz w:val="18"/>
              </w:rPr>
              <w:t>M365 migration; validation report finds 421 mailboxes with incomplete ingestion; on-premises Exchange storage deallocated</w:t>
            </w:r>
          </w:p>
        </w:tc>
        <w:tc>
          <w:tcPr>
            <w:tcW w:type="dxa" w:w="3312"/>
          </w:tcPr>
          <w:p>
            <w:r/>
            <w:r>
              <w:rPr>
                <w:sz w:val="18"/>
              </w:rPr>
              <w:t>Happened before any trigger, so not spoliation. It is still a gap we must disclose and explain.</w:t>
            </w:r>
          </w:p>
        </w:tc>
        <w:tc>
          <w:tcPr>
            <w:tcW w:type="dxa" w:w="1872"/>
          </w:tcPr>
          <w:p>
            <w:r/>
            <w:r>
              <w:rPr>
                <w:sz w:val="18"/>
              </w:rPr>
              <w:t>—</w:t>
            </w:r>
          </w:p>
        </w:tc>
      </w:tr>
      <w:tr>
        <w:tc>
          <w:tcPr>
            <w:tcW w:type="dxa" w:w="1440"/>
          </w:tcPr>
          <w:p>
            <w:r/>
            <w:r>
              <w:rPr>
                <w:sz w:val="18"/>
              </w:rPr>
              <w:t>Jun 14, 2024</w:t>
            </w:r>
          </w:p>
        </w:tc>
        <w:tc>
          <w:tcPr>
            <w:tcW w:type="dxa" w:w="2736"/>
          </w:tcPr>
          <w:p>
            <w:r/>
            <w:r>
              <w:rPr>
                <w:sz w:val="18"/>
              </w:rPr>
              <w:t>Kovach's first verbal complaint to Sokolova (CFO)</w:t>
            </w:r>
          </w:p>
        </w:tc>
        <w:tc>
          <w:tcPr>
            <w:tcW w:type="dxa" w:w="3312"/>
          </w:tcPr>
          <w:p>
            <w:r/>
            <w:r>
              <w:rPr>
                <w:sz w:val="18"/>
              </w:rPr>
              <w:t>Earliest arguable trigger: Policy § 4.1(f), internal awareness of a whistleblower complaint. Sokolova disputes that it was a complaint.</w:t>
            </w:r>
          </w:p>
        </w:tc>
        <w:tc>
          <w:tcPr>
            <w:tcW w:type="dxa" w:w="1872"/>
          </w:tcPr>
          <w:p>
            <w:r/>
            <w:r>
              <w:rPr>
                <w:sz w:val="18"/>
              </w:rPr>
              <w:t>Back to Mar 16 (would have captured Q1 quarter-end)</w:t>
            </w:r>
          </w:p>
        </w:tc>
      </w:tr>
      <w:tr>
        <w:tc>
          <w:tcPr>
            <w:tcW w:type="dxa" w:w="1440"/>
          </w:tcPr>
          <w:p>
            <w:r/>
            <w:r>
              <w:rPr>
                <w:sz w:val="18"/>
              </w:rPr>
              <w:t>Jun 28 / Jul 2, 2024</w:t>
            </w:r>
          </w:p>
        </w:tc>
        <w:tc>
          <w:tcPr>
            <w:tcW w:type="dxa" w:w="2736"/>
          </w:tcPr>
          <w:p>
            <w:r/>
            <w:r>
              <w:rPr>
                <w:sz w:val="18"/>
              </w:rPr>
              <w:t>Complaint to Chen; second complaint to Sokolova</w:t>
            </w:r>
          </w:p>
        </w:tc>
        <w:tc>
          <w:tcPr>
            <w:tcW w:type="dxa" w:w="3312"/>
          </w:tcPr>
          <w:p>
            <w:r/>
            <w:r>
              <w:rPr>
                <w:sz w:val="18"/>
              </w:rPr>
              <w:t>Same as above</w:t>
            </w:r>
          </w:p>
        </w:tc>
        <w:tc>
          <w:tcPr>
            <w:tcW w:type="dxa" w:w="1872"/>
          </w:tcPr>
          <w:p>
            <w:r/>
            <w:r>
              <w:rPr>
                <w:sz w:val="18"/>
              </w:rPr>
              <w:t>—</w:t>
            </w:r>
          </w:p>
        </w:tc>
      </w:tr>
      <w:tr>
        <w:tc>
          <w:tcPr>
            <w:tcW w:type="dxa" w:w="1440"/>
          </w:tcPr>
          <w:p>
            <w:r/>
            <w:r>
              <w:rPr>
                <w:sz w:val="18"/>
              </w:rPr>
              <w:t>Jul 15, 2024</w:t>
            </w:r>
          </w:p>
        </w:tc>
        <w:tc>
          <w:tcPr>
            <w:tcW w:type="dxa" w:w="2736"/>
          </w:tcPr>
          <w:p>
            <w:r/>
            <w:r>
              <w:rPr>
                <w:sz w:val="18"/>
              </w:rPr>
              <w:t>PIP issued (Purdy; approved by Ellicott)</w:t>
            </w:r>
          </w:p>
        </w:tc>
        <w:tc>
          <w:tcPr>
            <w:tcW w:type="dxa" w:w="3312"/>
          </w:tcPr>
          <w:p>
            <w:r/>
            <w:r>
              <w:rPr>
                <w:sz w:val="18"/>
              </w:rPr>
              <w:t>Adverse action 13 days after protected activity</w:t>
            </w:r>
          </w:p>
        </w:tc>
        <w:tc>
          <w:tcPr>
            <w:tcW w:type="dxa" w:w="1872"/>
          </w:tcPr>
          <w:p>
            <w:r/>
            <w:r>
              <w:rPr>
                <w:sz w:val="18"/>
              </w:rPr>
              <w:t>—</w:t>
            </w:r>
          </w:p>
        </w:tc>
      </w:tr>
      <w:tr>
        <w:tc>
          <w:tcPr>
            <w:tcW w:type="dxa" w:w="1440"/>
            <w:shd w:val="clear" w:color="auto" w:fill="F4CCCC"/>
          </w:tcPr>
          <w:p>
            <w:r/>
            <w:r>
              <w:rPr>
                <w:b/>
                <w:sz w:val="18"/>
              </w:rPr>
              <w:t>Aug 5, 2024</w:t>
            </w:r>
          </w:p>
        </w:tc>
        <w:tc>
          <w:tcPr>
            <w:tcW w:type="dxa" w:w="2736"/>
          </w:tcPr>
          <w:p>
            <w:r/>
            <w:r>
              <w:rPr>
                <w:sz w:val="18"/>
              </w:rPr>
              <w:t>Kovach's written letter to Audit Committee Chair Ainsley alleging "material misstatements in quarterly revenue"</w:t>
            </w:r>
          </w:p>
        </w:tc>
        <w:tc>
          <w:tcPr>
            <w:tcW w:type="dxa" w:w="3312"/>
          </w:tcPr>
          <w:p>
            <w:r/>
            <w:r>
              <w:rPr>
                <w:sz w:val="18"/>
              </w:rPr>
              <w:t>Strongest early trigger. Policy § 4.1(f). This is the date Stadler Raines asserts. We should assume a court may accept it.</w:t>
            </w:r>
          </w:p>
        </w:tc>
        <w:tc>
          <w:tcPr>
            <w:tcW w:type="dxa" w:w="1872"/>
          </w:tcPr>
          <w:p>
            <w:r/>
            <w:r>
              <w:rPr>
                <w:sz w:val="18"/>
              </w:rPr>
              <w:t>Back to May 7 (all complaints, the Jul 2–15 window, Q2 quarter-end)</w:t>
            </w:r>
          </w:p>
        </w:tc>
      </w:tr>
      <w:tr>
        <w:tc>
          <w:tcPr>
            <w:tcW w:type="dxa" w:w="1440"/>
            <w:shd w:val="clear" w:color="auto" w:fill="F4CCCC"/>
          </w:tcPr>
          <w:p>
            <w:r/>
            <w:r>
              <w:rPr>
                <w:b/>
                <w:sz w:val="18"/>
              </w:rPr>
              <w:t>Aug 20, 2024</w:t>
            </w:r>
          </w:p>
        </w:tc>
        <w:tc>
          <w:tcPr>
            <w:tcW w:type="dxa" w:w="2736"/>
          </w:tcPr>
          <w:p>
            <w:r/>
            <w:r>
              <w:rPr>
                <w:sz w:val="18"/>
              </w:rPr>
              <w:t>Audit Committee retains Pinnacle Hartwell for internal investigation</w:t>
            </w:r>
          </w:p>
        </w:tc>
        <w:tc>
          <w:tcPr>
            <w:tcW w:type="dxa" w:w="3312"/>
          </w:tcPr>
          <w:p>
            <w:r/>
            <w:r>
              <w:rPr>
                <w:sz w:val="18"/>
              </w:rPr>
              <w:t>Independent trigger: Policy § 4.1(h), commencement of an internal investigation by the Audit Committee or outside counsel</w:t>
            </w:r>
          </w:p>
        </w:tc>
        <w:tc>
          <w:tcPr>
            <w:tcW w:type="dxa" w:w="1872"/>
          </w:tcPr>
          <w:p>
            <w:r/>
            <w:r>
              <w:rPr>
                <w:sz w:val="18"/>
              </w:rPr>
              <w:t>Back to May 22</w:t>
            </w:r>
          </w:p>
        </w:tc>
      </w:tr>
      <w:tr>
        <w:tc>
          <w:tcPr>
            <w:tcW w:type="dxa" w:w="1440"/>
          </w:tcPr>
          <w:p>
            <w:r/>
            <w:r>
              <w:rPr>
                <w:sz w:val="18"/>
              </w:rPr>
              <w:t>Aug 29, 2024</w:t>
            </w:r>
          </w:p>
        </w:tc>
        <w:tc>
          <w:tcPr>
            <w:tcW w:type="dxa" w:w="2736"/>
          </w:tcPr>
          <w:p>
            <w:r/>
            <w:r>
              <w:rPr>
                <w:sz w:val="18"/>
              </w:rPr>
              <w:t>Kovach tells investigators he raised concerns "via Microsoft Teams chat, email, and in-person meetings"</w:t>
            </w:r>
          </w:p>
        </w:tc>
        <w:tc>
          <w:tcPr>
            <w:tcW w:type="dxa" w:w="3312"/>
          </w:tcPr>
          <w:p>
            <w:r/>
            <w:r>
              <w:rPr>
                <w:sz w:val="18"/>
              </w:rPr>
              <w:t>Actual notice that Teams chats were relevant evidence. This fact makes "we didn't know" unavailable.</w:t>
            </w:r>
          </w:p>
        </w:tc>
        <w:tc>
          <w:tcPr>
            <w:tcW w:type="dxa" w:w="1872"/>
          </w:tcPr>
          <w:p>
            <w:r/>
            <w:r>
              <w:rPr>
                <w:sz w:val="18"/>
              </w:rPr>
              <w:t>Back to May 31</w:t>
            </w:r>
          </w:p>
        </w:tc>
      </w:tr>
      <w:tr>
        <w:tc>
          <w:tcPr>
            <w:tcW w:type="dxa" w:w="1440"/>
            <w:shd w:val="clear" w:color="auto" w:fill="F4CCCC"/>
          </w:tcPr>
          <w:p>
            <w:r/>
            <w:r>
              <w:rPr>
                <w:b/>
                <w:sz w:val="18"/>
              </w:rPr>
              <w:t>Sep 12, 2024</w:t>
            </w:r>
          </w:p>
        </w:tc>
        <w:tc>
          <w:tcPr>
            <w:tcW w:type="dxa" w:w="2736"/>
          </w:tcPr>
          <w:p>
            <w:r/>
            <w:r>
              <w:rPr>
                <w:sz w:val="18"/>
              </w:rPr>
              <w:t>Termination one day before PIP expiry; no preservation notice to Kovach about his BYOD iPhone</w:t>
            </w:r>
          </w:p>
        </w:tc>
        <w:tc>
          <w:tcPr>
            <w:tcW w:type="dxa" w:w="3312"/>
          </w:tcPr>
          <w:p>
            <w:r/>
            <w:r>
              <w:rPr>
                <w:sz w:val="18"/>
              </w:rPr>
              <w:t>Latest date on which a reasonable-anticipation trigger is defensible (your view). Policy § 4.1(e)/(f).</w:t>
            </w:r>
          </w:p>
        </w:tc>
        <w:tc>
          <w:tcPr>
            <w:tcW w:type="dxa" w:w="1872"/>
          </w:tcPr>
          <w:p>
            <w:r/>
            <w:r>
              <w:rPr>
                <w:sz w:val="18"/>
              </w:rPr>
              <w:t>Back to Jun 14 (all complaints, Jul 2–15 window, Q2 quarter-end)</w:t>
            </w:r>
          </w:p>
        </w:tc>
      </w:tr>
      <w:tr>
        <w:tc>
          <w:tcPr>
            <w:tcW w:type="dxa" w:w="1440"/>
          </w:tcPr>
          <w:p>
            <w:r/>
            <w:r>
              <w:rPr>
                <w:sz w:val="18"/>
              </w:rPr>
              <w:t>Oct 3, 2024</w:t>
            </w:r>
          </w:p>
        </w:tc>
        <w:tc>
          <w:tcPr>
            <w:tcW w:type="dxa" w:w="2736"/>
          </w:tcPr>
          <w:p>
            <w:r/>
            <w:r>
              <w:rPr>
                <w:sz w:val="18"/>
              </w:rPr>
              <w:t>Stadler Raines demand letter with express preservation demand (Section VII)</w:t>
            </w:r>
          </w:p>
        </w:tc>
        <w:tc>
          <w:tcPr>
            <w:tcW w:type="dxa" w:w="3312"/>
          </w:tcPr>
          <w:p>
            <w:r/>
            <w:r>
              <w:rPr>
                <w:sz w:val="18"/>
              </w:rPr>
              <w:t>Undeniable trigger. Policy § 4.1(b) and (d). Demand response deadline was Nov 2, which has passed. Please confirm the status of our response with Pinnacle Hartwell.</w:t>
            </w:r>
          </w:p>
        </w:tc>
        <w:tc>
          <w:tcPr>
            <w:tcW w:type="dxa" w:w="1872"/>
          </w:tcPr>
          <w:p>
            <w:r/>
            <w:r>
              <w:rPr>
                <w:sz w:val="18"/>
              </w:rPr>
              <w:t>Back to Jul 5</w:t>
            </w:r>
          </w:p>
        </w:tc>
      </w:tr>
      <w:tr>
        <w:tc>
          <w:tcPr>
            <w:tcW w:type="dxa" w:w="1440"/>
          </w:tcPr>
          <w:p>
            <w:r/>
            <w:r>
              <w:rPr>
                <w:sz w:val="18"/>
              </w:rPr>
              <w:t>Oct 18, 2024</w:t>
            </w:r>
          </w:p>
        </w:tc>
        <w:tc>
          <w:tcPr>
            <w:tcW w:type="dxa" w:w="2736"/>
          </w:tcPr>
          <w:p>
            <w:r/>
            <w:r>
              <w:rPr>
                <w:sz w:val="18"/>
              </w:rPr>
              <w:t>Pinnacle Hartwell defense engagement; engagement letter recommends immediate suspension of routine destruction</w:t>
            </w:r>
          </w:p>
        </w:tc>
        <w:tc>
          <w:tcPr>
            <w:tcW w:type="dxa" w:w="3312"/>
          </w:tcPr>
          <w:p>
            <w:r/>
            <w:r>
              <w:rPr>
                <w:sz w:val="18"/>
              </w:rPr>
              <w:t>Written advice from outside counsel that was not acted on</w:t>
            </w:r>
          </w:p>
        </w:tc>
        <w:tc>
          <w:tcPr>
            <w:tcW w:type="dxa" w:w="1872"/>
          </w:tcPr>
          <w:p>
            <w:r/>
            <w:r>
              <w:rPr>
                <w:sz w:val="18"/>
              </w:rPr>
              <w:t>Back to Jul 20</w:t>
            </w:r>
          </w:p>
        </w:tc>
      </w:tr>
      <w:tr>
        <w:tc>
          <w:tcPr>
            <w:tcW w:type="dxa" w:w="1440"/>
          </w:tcPr>
          <w:p>
            <w:r/>
            <w:r>
              <w:rPr>
                <w:sz w:val="18"/>
              </w:rPr>
              <w:t>Oct 28, 2024</w:t>
            </w:r>
          </w:p>
        </w:tc>
        <w:tc>
          <w:tcPr>
            <w:tcW w:type="dxa" w:w="2736"/>
          </w:tcPr>
          <w:p>
            <w:r/>
            <w:r>
              <w:rPr>
                <w:sz w:val="18"/>
              </w:rPr>
              <w:t>SEC informal inquiry with express preservation instruction and request to suspend auto-deletion</w:t>
            </w:r>
          </w:p>
        </w:tc>
        <w:tc>
          <w:tcPr>
            <w:tcW w:type="dxa" w:w="3312"/>
          </w:tcPr>
          <w:p>
            <w:r/>
            <w:r>
              <w:rPr>
                <w:sz w:val="18"/>
              </w:rPr>
              <w:t>Policy § 4.1(c)/(g). SOX § 802 (18 U.S.C. § 1519) now in the background. Production due Nov 27.</w:t>
            </w:r>
          </w:p>
        </w:tc>
        <w:tc>
          <w:tcPr>
            <w:tcW w:type="dxa" w:w="1872"/>
          </w:tcPr>
          <w:p>
            <w:r/>
            <w:r>
              <w:rPr>
                <w:sz w:val="18"/>
              </w:rPr>
              <w:t>Back to Jul 30</w:t>
            </w:r>
          </w:p>
        </w:tc>
      </w:tr>
      <w:tr>
        <w:tc>
          <w:tcPr>
            <w:tcW w:type="dxa" w:w="1440"/>
          </w:tcPr>
          <w:p>
            <w:r/>
            <w:r>
              <w:rPr>
                <w:sz w:val="18"/>
              </w:rPr>
              <w:t>Oct 30 – Nov 4, 2024</w:t>
            </w:r>
          </w:p>
        </w:tc>
        <w:tc>
          <w:tcPr>
            <w:tcW w:type="dxa" w:w="2736"/>
          </w:tcPr>
          <w:p>
            <w:r/>
            <w:r>
              <w:rPr>
                <w:sz w:val="18"/>
              </w:rPr>
              <w:t>Legal requests IT inventory; Ridgeway engaged Nov 1; Novotny memo Nov 4 confirms no holds in place</w:t>
            </w:r>
          </w:p>
        </w:tc>
        <w:tc>
          <w:tcPr>
            <w:tcW w:type="dxa" w:w="3312"/>
          </w:tcPr>
          <w:p>
            <w:r/>
            <w:r>
              <w:rPr>
                <w:sz w:val="18"/>
              </w:rPr>
              <w:t>Inventory complete; no preservation executed</w:t>
            </w:r>
          </w:p>
        </w:tc>
        <w:tc>
          <w:tcPr>
            <w:tcW w:type="dxa" w:w="1872"/>
          </w:tcPr>
          <w:p>
            <w:r/>
            <w:r>
              <w:rPr>
                <w:sz w:val="18"/>
              </w:rPr>
              <w:t>Back to Aug 6</w:t>
            </w:r>
          </w:p>
        </w:tc>
      </w:tr>
      <w:tr>
        <w:tc>
          <w:tcPr>
            <w:tcW w:type="dxa" w:w="1440"/>
            <w:shd w:val="clear" w:color="auto" w:fill="FCE5CD"/>
          </w:tcPr>
          <w:p>
            <w:r/>
            <w:r>
              <w:rPr>
                <w:b/>
                <w:sz w:val="18"/>
              </w:rPr>
              <w:t>Nov 8, 2024 (today)</w:t>
            </w:r>
          </w:p>
        </w:tc>
        <w:tc>
          <w:tcPr>
            <w:tcW w:type="dxa" w:w="2736"/>
          </w:tcPr>
          <w:p>
            <w:r/>
            <w:r>
              <w:rPr>
                <w:sz w:val="18"/>
              </w:rPr>
              <w:t>No custodian notices; no system holds</w:t>
            </w:r>
          </w:p>
        </w:tc>
        <w:tc>
          <w:tcPr>
            <w:tcW w:type="dxa" w:w="3312"/>
          </w:tcPr>
          <w:p>
            <w:r/>
            <w:r>
              <w:rPr>
                <w:sz w:val="18"/>
              </w:rPr>
              <w:t>Gap: 95 days from Aug 5; 57 days from Sep 12; 36 days from Oct 3</w:t>
            </w:r>
          </w:p>
        </w:tc>
        <w:tc>
          <w:tcPr>
            <w:tcW w:type="dxa" w:w="1872"/>
          </w:tcPr>
          <w:p>
            <w:r/>
            <w:r>
              <w:rPr>
                <w:sz w:val="18"/>
              </w:rPr>
              <w:t>Back to Aug 10 only</w:t>
            </w:r>
          </w:p>
        </w:tc>
      </w:tr>
    </w:tbl>
    <w:p>
      <w:pPr>
        <w:spacing w:after="40"/>
      </w:pPr>
    </w:p>
    <w:p>
      <w:pPr>
        <w:spacing w:after="120"/>
      </w:pPr>
      <w:r>
        <w:rPr>
          <w:i w:val="0"/>
        </w:rPr>
        <w:t>Assessment. I agree with your analysis and would go a step further. Because of our own policy's triggers (f) and (h), plus Kovach's August 29 statement about Teams, I think a court or the Staff is more likely to find the trigger on August 5 or August 20 than on September 12. We should plan and budget for an August 5 trigger. Even under the most favorable view (October 3), 36 days have passed with the auto-purge running after an explicit written demand. That period cannot be justified. We should (1) put the holds in place today, (2) document the remediation steps carefully, and (3) with Pinnacle Hartwell, decide how and when to disclose the Teams gap to the Staff and in Rule 26(f) discussions. Disclosing proactively usually goes over better than having it discovered.</w:t>
      </w:r>
    </w:p>
    <w:p>
      <w:pPr>
        <w:pStyle w:val="Heading1"/>
      </w:pPr>
      <w:r>
        <w:t>III. Consolidated Hold Recommendation</w:t>
      </w:r>
    </w:p>
    <w:p>
      <w:pPr>
        <w:pStyle w:val="ListBullet"/>
        <w:spacing w:after="60"/>
      </w:pPr>
      <w:r>
        <w:rPr>
          <w:b/>
        </w:rPr>
        <w:t xml:space="preserve">Structure. </w:t>
      </w:r>
      <w:r>
        <w:rPr>
          <w:i w:val="0"/>
        </w:rPr>
        <w:t>One hold notice, one hold log (Policy § 4.2(5)), captioned for both "the Kovach employment matter" and "the SEC inquiry regarding revenue recognition." Each custodian and data source is tagged K (Kovach), S (SEC), or K/S. That way, if the Kovach matter settles, we can release the Kovach-only scope without disturbing the SEC hold.</w:t>
      </w:r>
    </w:p>
    <w:p>
      <w:pPr>
        <w:pStyle w:val="ListBullet"/>
        <w:spacing w:after="60"/>
      </w:pPr>
      <w:r>
        <w:rPr>
          <w:b/>
        </w:rPr>
        <w:t xml:space="preserve">Date range. </w:t>
      </w:r>
      <w:r>
        <w:rPr>
          <w:i w:val="0"/>
        </w:rPr>
        <w:t>January 1, 2023 to the present, continuing. This covers the demand letter period (from Jan 1, 2024), the SEC period (Q1–Q3 2024), the prior-year comparison periods on which the investigation and the Staff will rely (Q2/Q3 FY2023 revenue and the 3.1% historical return rate), the FY2023 review Ellicott completed in February 2024, and ongoing Q4 2024 return activity (investigation Recommendation 1). HR records for Kovach should be held for his entire tenure (March 12, 2018 onward), because the case turns on his three "Exceeds Expectations" ratings compared with the PIP.</w:t>
      </w:r>
    </w:p>
    <w:p>
      <w:pPr>
        <w:pStyle w:val="ListBullet"/>
        <w:spacing w:after="60"/>
      </w:pPr>
      <w:r>
        <w:rPr>
          <w:b/>
        </w:rPr>
        <w:t xml:space="preserve">Subject-matter scope. </w:t>
      </w:r>
      <w:r>
        <w:rPr>
          <w:i w:val="0"/>
        </w:rPr>
        <w:t>(a) Kovach's complaints, performance, PIP, termination, severance, and BYOD; (b) channel distributor agreements, side arrangements, return, credit, and price-protection terms; (c) quarter-end shipments, "ship-ahead" arrangements, and sales targets and directives; (d) revenue recognition entries, ASC 606 analyses, and return reserves; (e) Board and Audit Committee materials; (f) external auditor (Caldwell Thornton) communications; (g) the internal investigation and its file, kept separately privileged.</w:t>
      </w:r>
    </w:p>
    <w:p>
      <w:pPr>
        <w:pStyle w:val="ListBullet"/>
        <w:spacing w:after="60"/>
      </w:pPr>
      <w:r>
        <w:rPr>
          <w:b/>
        </w:rPr>
        <w:t xml:space="preserve">Distribution. </w:t>
      </w:r>
      <w:r>
        <w:rPr>
          <w:i w:val="0"/>
        </w:rPr>
        <w:t>The notice must reach Ainsley, the four sales and operations interviewees, and Tier 3 custodians. It must also go to IT under Policy § 4.2(4), with a demand for written confirmation that each automated process has been suspended.</w:t>
      </w:r>
    </w:p>
    <w:p>
      <w:pPr>
        <w:pStyle w:val="ListBullet"/>
        <w:spacing w:after="60"/>
      </w:pPr>
      <w:r>
        <w:rPr>
          <w:b/>
        </w:rPr>
        <w:t xml:space="preserve">Content. </w:t>
      </w:r>
      <w:r>
        <w:rPr>
          <w:i w:val="0"/>
        </w:rPr>
        <w:t>The notice should describe the subject matter neutrally. It should not characterize the allegations or our exposure, since hold notices are sometimes ordered produced. Acknowledgment is required within 48 hours (§ 4.3(5)). Reminders go out quarterly (§ 4.3). Non-acknowledgments are escalated to you on day 3.</w:t>
      </w:r>
    </w:p>
    <w:p>
      <w:pPr>
        <w:pStyle w:val="ListBullet"/>
        <w:spacing w:after="60"/>
      </w:pPr>
      <w:r>
        <w:rPr>
          <w:b/>
        </w:rPr>
        <w:t xml:space="preserve">Do not rely on self-preservation by interested custodians. </w:t>
      </w:r>
      <w:r>
        <w:rPr>
          <w:i w:val="0"/>
        </w:rPr>
        <w:t>Several custodians are alleged actors: Sokolova, Ellicott, Purdy, and Herrera. We must not rely on self-preservation or self-collection for them. System-level holds and Ridgeway forensic collection should be the primary safeguard. The notice supplements them.</w:t>
      </w:r>
    </w:p>
    <w:p>
      <w:pPr>
        <w:pStyle w:val="Heading1"/>
      </w:pPr>
      <w:r>
        <w:t>IV. Custodian Identification</w:t>
      </w:r>
    </w:p>
    <w:p>
      <w:pPr>
        <w:spacing w:after="120"/>
      </w:pPr>
      <w:r>
        <w:rPr>
          <w:i w:val="0"/>
        </w:rPr>
        <w:t>Tier 1 = central actors or complaint recipients. Tier 2 = interviewees and witnesses with unique documents. Tier 3 = broader scope, driven mainly by the SEC inquiry. Matter tags: K = Kovach only, S = SEC only, K/S = both.</w:t>
      </w:r>
    </w:p>
    <w:p>
      <w:pPr>
        <w:pStyle w:val="Heading2"/>
      </w:pPr>
      <w:r>
        <w:t>A. Tier 1 — Issue Hold Today</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584"/>
            <w:shd w:val="clear" w:color="auto" w:fill="1F3A5F"/>
          </w:tcPr>
          <w:p>
            <w:r/>
            <w:r>
              <w:rPr>
                <w:b/>
                <w:color w:val="FFFFFF"/>
                <w:sz w:val="18"/>
              </w:rPr>
              <w:t>Custodian</w:t>
            </w:r>
          </w:p>
        </w:tc>
        <w:tc>
          <w:tcPr>
            <w:tcW w:type="dxa" w:w="1584"/>
            <w:shd w:val="clear" w:color="auto" w:fill="1F3A5F"/>
          </w:tcPr>
          <w:p>
            <w:r/>
            <w:r>
              <w:rPr>
                <w:b/>
                <w:color w:val="FFFFFF"/>
                <w:sz w:val="18"/>
              </w:rPr>
              <w:t>Role</w:t>
            </w:r>
          </w:p>
        </w:tc>
        <w:tc>
          <w:tcPr>
            <w:tcW w:type="dxa" w:w="2880"/>
            <w:shd w:val="clear" w:color="auto" w:fill="1F3A5F"/>
          </w:tcPr>
          <w:p>
            <w:r/>
            <w:r>
              <w:rPr>
                <w:b/>
                <w:color w:val="FFFFFF"/>
                <w:sz w:val="18"/>
              </w:rPr>
              <w:t>Why relevant</w:t>
            </w:r>
          </w:p>
        </w:tc>
        <w:tc>
          <w:tcPr>
            <w:tcW w:type="dxa" w:w="864"/>
            <w:shd w:val="clear" w:color="auto" w:fill="1F3A5F"/>
          </w:tcPr>
          <w:p>
            <w:r/>
            <w:r>
              <w:rPr>
                <w:b/>
                <w:color w:val="FFFFFF"/>
                <w:sz w:val="18"/>
              </w:rPr>
              <w:t>Matter</w:t>
            </w:r>
          </w:p>
        </w:tc>
        <w:tc>
          <w:tcPr>
            <w:tcW w:type="dxa" w:w="2448"/>
            <w:shd w:val="clear" w:color="auto" w:fill="1F3A5F"/>
          </w:tcPr>
          <w:p>
            <w:r/>
            <w:r>
              <w:rPr>
                <w:b/>
                <w:color w:val="FFFFFF"/>
                <w:sz w:val="18"/>
              </w:rPr>
              <w:t>Key sources / notes</w:t>
            </w:r>
          </w:p>
        </w:tc>
      </w:tr>
      <w:tr>
        <w:tc>
          <w:tcPr>
            <w:tcW w:type="dxa" w:w="1584"/>
          </w:tcPr>
          <w:p>
            <w:r/>
            <w:r>
              <w:rPr>
                <w:b/>
                <w:sz w:val="18"/>
              </w:rPr>
              <w:t>Darren T. Kovach</w:t>
            </w:r>
          </w:p>
        </w:tc>
        <w:tc>
          <w:tcPr>
            <w:tcW w:type="dxa" w:w="1584"/>
          </w:tcPr>
          <w:p>
            <w:r/>
            <w:r>
              <w:rPr>
                <w:sz w:val="18"/>
              </w:rPr>
              <w:t>Former VP Sales, Americas (complainant)</w:t>
            </w:r>
          </w:p>
        </w:tc>
        <w:tc>
          <w:tcPr>
            <w:tcW w:type="dxa" w:w="2880"/>
          </w:tcPr>
          <w:p>
            <w:r/>
            <w:r>
              <w:rPr>
                <w:sz w:val="18"/>
              </w:rPr>
              <w:t>Author of the complaints and Aug 5 letter; sent Teams messages and emails about the practices; PIP/CRM compliance</w:t>
            </w:r>
          </w:p>
        </w:tc>
        <w:tc>
          <w:tcPr>
            <w:tcW w:type="dxa" w:w="864"/>
          </w:tcPr>
          <w:p>
            <w:r/>
            <w:r>
              <w:rPr>
                <w:sz w:val="18"/>
              </w:rPr>
              <w:t>K/S</w:t>
            </w:r>
          </w:p>
        </w:tc>
        <w:tc>
          <w:tcPr>
            <w:tcW w:type="dxa" w:w="2448"/>
          </w:tcPr>
          <w:p>
            <w:r/>
            <w:r>
              <w:rPr>
                <w:sz w:val="18"/>
              </w:rPr>
              <w:t>Company-controlled data: M365 mailbox (now a shared mailbox, no hold yet), OneDrive, NXF-FS01 folders, Salesforce activity, returned Dell laptop. Non-company data (personal iPhone): preservation demand to Stadler Raines (§ VII.B).</w:t>
            </w:r>
          </w:p>
        </w:tc>
      </w:tr>
      <w:tr>
        <w:tc>
          <w:tcPr>
            <w:tcW w:type="dxa" w:w="1584"/>
          </w:tcPr>
          <w:p>
            <w:r/>
            <w:r>
              <w:rPr>
                <w:b/>
                <w:sz w:val="18"/>
              </w:rPr>
              <w:t>Renata Sokolova</w:t>
            </w:r>
          </w:p>
        </w:tc>
        <w:tc>
          <w:tcPr>
            <w:tcW w:type="dxa" w:w="1584"/>
          </w:tcPr>
          <w:p>
            <w:r/>
            <w:r>
              <w:rPr>
                <w:sz w:val="18"/>
              </w:rPr>
              <w:t>CFO</w:t>
            </w:r>
          </w:p>
        </w:tc>
        <w:tc>
          <w:tcPr>
            <w:tcW w:type="dxa" w:w="2880"/>
          </w:tcPr>
          <w:p>
            <w:r/>
            <w:r>
              <w:rPr>
                <w:sz w:val="18"/>
              </w:rPr>
              <w:t>Received complaints Jun 14 and Jul 2; alleged source of "make the number" pressure; dotted-line manager; SOX 302 certifier; one of three people in the demanded Jul 2–15 window</w:t>
            </w:r>
          </w:p>
        </w:tc>
        <w:tc>
          <w:tcPr>
            <w:tcW w:type="dxa" w:w="864"/>
          </w:tcPr>
          <w:p>
            <w:r/>
            <w:r>
              <w:rPr>
                <w:sz w:val="18"/>
              </w:rPr>
              <w:t>K/S</w:t>
            </w:r>
          </w:p>
        </w:tc>
        <w:tc>
          <w:tcPr>
            <w:tcW w:type="dxa" w:w="2448"/>
          </w:tcPr>
          <w:p>
            <w:r/>
            <w:r>
              <w:rPr>
                <w:sz w:val="18"/>
              </w:rPr>
              <w:t>Mailbox, Teams, OneDrive, mobile device, weekly pipeline forecasts from Kovach (PIP Objective 4)</w:t>
            </w:r>
          </w:p>
        </w:tc>
      </w:tr>
      <w:tr>
        <w:tc>
          <w:tcPr>
            <w:tcW w:type="dxa" w:w="1584"/>
          </w:tcPr>
          <w:p>
            <w:r/>
            <w:r>
              <w:rPr>
                <w:b/>
                <w:sz w:val="18"/>
              </w:rPr>
              <w:t>Graham Ellicott</w:t>
            </w:r>
          </w:p>
        </w:tc>
        <w:tc>
          <w:tcPr>
            <w:tcW w:type="dxa" w:w="1584"/>
          </w:tcPr>
          <w:p>
            <w:r/>
            <w:r>
              <w:rPr>
                <w:sz w:val="18"/>
              </w:rPr>
              <w:t>CEO</w:t>
            </w:r>
          </w:p>
        </w:tc>
        <w:tc>
          <w:tcPr>
            <w:tcW w:type="dxa" w:w="2880"/>
          </w:tcPr>
          <w:p>
            <w:r/>
            <w:r>
              <w:rPr>
                <w:sz w:val="18"/>
              </w:rPr>
              <w:t>Approved PIP; carried out termination; signed termination letter; wrote Kovach's FY21–23 reviews; SOX 302 certifier; in the Jul 2–15 window</w:t>
            </w:r>
          </w:p>
        </w:tc>
        <w:tc>
          <w:tcPr>
            <w:tcW w:type="dxa" w:w="864"/>
          </w:tcPr>
          <w:p>
            <w:r/>
            <w:r>
              <w:rPr>
                <w:sz w:val="18"/>
              </w:rPr>
              <w:t>K/S</w:t>
            </w:r>
          </w:p>
        </w:tc>
        <w:tc>
          <w:tcPr>
            <w:tcW w:type="dxa" w:w="2448"/>
          </w:tcPr>
          <w:p>
            <w:r/>
            <w:r>
              <w:rPr>
                <w:sz w:val="18"/>
              </w:rPr>
              <w:t>Mailbox, Teams, mobile; any Board reporting on revenue</w:t>
            </w:r>
          </w:p>
        </w:tc>
      </w:tr>
      <w:tr>
        <w:tc>
          <w:tcPr>
            <w:tcW w:type="dxa" w:w="1584"/>
          </w:tcPr>
          <w:p>
            <w:r/>
            <w:r>
              <w:rPr>
                <w:b/>
                <w:sz w:val="18"/>
              </w:rPr>
              <w:t>Janet Purdy</w:t>
            </w:r>
          </w:p>
        </w:tc>
        <w:tc>
          <w:tcPr>
            <w:tcW w:type="dxa" w:w="1584"/>
          </w:tcPr>
          <w:p>
            <w:r/>
            <w:r>
              <w:rPr>
                <w:sz w:val="18"/>
              </w:rPr>
              <w:t>VP Human Resources</w:t>
            </w:r>
          </w:p>
        </w:tc>
        <w:tc>
          <w:tcPr>
            <w:tcW w:type="dxa" w:w="2880"/>
          </w:tcPr>
          <w:p>
            <w:r/>
            <w:r>
              <w:rPr>
                <w:sz w:val="18"/>
              </w:rPr>
              <w:t>Prepared the PIP, ran check-ins, carried out termination, handled severance; in the Jul 2–15 window</w:t>
            </w:r>
          </w:p>
        </w:tc>
        <w:tc>
          <w:tcPr>
            <w:tcW w:type="dxa" w:w="864"/>
          </w:tcPr>
          <w:p>
            <w:r/>
            <w:r>
              <w:rPr>
                <w:sz w:val="18"/>
              </w:rPr>
              <w:t>K (primary)</w:t>
            </w:r>
          </w:p>
        </w:tc>
        <w:tc>
          <w:tcPr>
            <w:tcW w:type="dxa" w:w="2448"/>
          </w:tcPr>
          <w:p>
            <w:r/>
            <w:r>
              <w:rPr>
                <w:sz w:val="18"/>
              </w:rPr>
              <w:t>Physical personnel file (6th floor locked cabinet), SuccessFactors HRIS, check-in notes, CRM audit reports</w:t>
            </w:r>
          </w:p>
        </w:tc>
      </w:tr>
      <w:tr>
        <w:tc>
          <w:tcPr>
            <w:tcW w:type="dxa" w:w="1584"/>
          </w:tcPr>
          <w:p>
            <w:r/>
            <w:r>
              <w:rPr>
                <w:b/>
                <w:sz w:val="18"/>
              </w:rPr>
              <w:t>Li Wei Chen</w:t>
            </w:r>
          </w:p>
        </w:tc>
        <w:tc>
          <w:tcPr>
            <w:tcW w:type="dxa" w:w="1584"/>
          </w:tcPr>
          <w:p>
            <w:r/>
            <w:r>
              <w:rPr>
                <w:sz w:val="18"/>
              </w:rPr>
              <w:t>Controller</w:t>
            </w:r>
          </w:p>
        </w:tc>
        <w:tc>
          <w:tcPr>
            <w:tcW w:type="dxa" w:w="2880"/>
          </w:tcPr>
          <w:p>
            <w:r/>
            <w:r>
              <w:rPr>
                <w:sz w:val="18"/>
              </w:rPr>
              <w:t>Received complaint Jun 28; owns revenue entries and quarter-end close; return reserve analysis</w:t>
            </w:r>
          </w:p>
        </w:tc>
        <w:tc>
          <w:tcPr>
            <w:tcW w:type="dxa" w:w="864"/>
          </w:tcPr>
          <w:p>
            <w:r/>
            <w:r>
              <w:rPr>
                <w:sz w:val="18"/>
              </w:rPr>
              <w:t>K/S</w:t>
            </w:r>
          </w:p>
        </w:tc>
        <w:tc>
          <w:tcPr>
            <w:tcW w:type="dxa" w:w="2448"/>
          </w:tcPr>
          <w:p>
            <w:r/>
            <w:r>
              <w:rPr>
                <w:sz w:val="18"/>
              </w:rPr>
              <w:t>Mailbox, Teams, SAP journal entries, ASC 606 memos, auditor correspondence</w:t>
            </w:r>
          </w:p>
        </w:tc>
      </w:tr>
      <w:tr>
        <w:tc>
          <w:tcPr>
            <w:tcW w:type="dxa" w:w="1584"/>
          </w:tcPr>
          <w:p>
            <w:r/>
            <w:r>
              <w:rPr>
                <w:b/>
                <w:sz w:val="18"/>
              </w:rPr>
              <w:t>Tomás Herrera</w:t>
            </w:r>
          </w:p>
        </w:tc>
        <w:tc>
          <w:tcPr>
            <w:tcW w:type="dxa" w:w="1584"/>
          </w:tcPr>
          <w:p>
            <w:r/>
            <w:r>
              <w:rPr>
                <w:sz w:val="18"/>
              </w:rPr>
              <w:t>Director Sales Ops; interim VP Sales since Sep 13</w:t>
            </w:r>
          </w:p>
        </w:tc>
        <w:tc>
          <w:tcPr>
            <w:tcW w:type="dxa" w:w="2880"/>
          </w:tcPr>
          <w:p>
            <w:r/>
            <w:r>
              <w:rPr>
                <w:sz w:val="18"/>
              </w:rPr>
              <w:t>Former direct report to Kovach; received "prioritize channel" guidance; controls Salesforce "Inactive" flagging and NXF-FS01 Sales folders; received Kovach's forwarded mail Sep 12–Oct 12; ran the CRM audit that supported the PIP</w:t>
            </w:r>
          </w:p>
        </w:tc>
        <w:tc>
          <w:tcPr>
            <w:tcW w:type="dxa" w:w="864"/>
          </w:tcPr>
          <w:p>
            <w:r/>
            <w:r>
              <w:rPr>
                <w:sz w:val="18"/>
              </w:rPr>
              <w:t>K/S</w:t>
            </w:r>
          </w:p>
        </w:tc>
        <w:tc>
          <w:tcPr>
            <w:tcW w:type="dxa" w:w="2448"/>
          </w:tcPr>
          <w:p>
            <w:r/>
            <w:r>
              <w:rPr>
                <w:sz w:val="18"/>
              </w:rPr>
              <w:t>Mailbox (includes forwarded Kovach mail), Teams, Salesforce, S:\ drive. Interested party: remove his team's ability to mark records Inactive for the duration of the hold.</w:t>
            </w:r>
          </w:p>
        </w:tc>
      </w:tr>
      <w:tr>
        <w:tc>
          <w:tcPr>
            <w:tcW w:type="dxa" w:w="1584"/>
          </w:tcPr>
          <w:p>
            <w:r/>
            <w:r>
              <w:rPr>
                <w:b/>
                <w:sz w:val="18"/>
              </w:rPr>
              <w:t>Marcus Ainsley</w:t>
            </w:r>
          </w:p>
        </w:tc>
        <w:tc>
          <w:tcPr>
            <w:tcW w:type="dxa" w:w="1584"/>
          </w:tcPr>
          <w:p>
            <w:r/>
            <w:r>
              <w:rPr>
                <w:sz w:val="18"/>
              </w:rPr>
              <w:t>Audit Committee Chair (director)</w:t>
            </w:r>
          </w:p>
        </w:tc>
        <w:tc>
          <w:tcPr>
            <w:tcW w:type="dxa" w:w="2880"/>
          </w:tcPr>
          <w:p>
            <w:r/>
            <w:r>
              <w:rPr>
                <w:sz w:val="18"/>
              </w:rPr>
              <w:t>Received Aug 5 letter; directed the investigation; Board and Audit Committee materials (SEC Request 6)</w:t>
            </w:r>
          </w:p>
        </w:tc>
        <w:tc>
          <w:tcPr>
            <w:tcW w:type="dxa" w:w="864"/>
          </w:tcPr>
          <w:p>
            <w:r/>
            <w:r>
              <w:rPr>
                <w:sz w:val="18"/>
              </w:rPr>
              <w:t>K/S</w:t>
            </w:r>
          </w:p>
        </w:tc>
        <w:tc>
          <w:tcPr>
            <w:tcW w:type="dxa" w:w="2448"/>
          </w:tcPr>
          <w:p>
            <w:r/>
            <w:r>
              <w:rPr>
                <w:sz w:val="18"/>
              </w:rPr>
              <w:t>Special protocol, § VI. Confirm which email accounts and devices he uses (Nexfield address vs. personal or other-employer).</w:t>
            </w:r>
          </w:p>
        </w:tc>
      </w:tr>
    </w:tbl>
    <w:p>
      <w:pPr>
        <w:spacing w:after="40"/>
      </w:pPr>
    </w:p>
    <w:p>
      <w:pPr>
        <w:pStyle w:val="Heading2"/>
      </w:pPr>
      <w:r>
        <w:t>B. Tier 2 — Investigation Interviewees (Your November 7 Question)</w:t>
      </w:r>
    </w:p>
    <w:p>
      <w:pPr>
        <w:spacing w:after="120"/>
      </w:pPr>
      <w:r>
        <w:rPr>
          <w:i w:val="0"/>
        </w:rPr>
        <w:t>Yes. All eight interviewees should be custodians. Five of them are already in Tier 1: Sokolova, Chen, Herrera, Kovach, and Ainsley's investigation role. The other four had no part in the termination, but they are the best evidence we have on the channel-stuffing merits. That evidence matters to the SEC and also to the Kovach case, because whether his belief was reasonable is an element of § 806.</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584"/>
            <w:shd w:val="clear" w:color="auto" w:fill="1F3A5F"/>
          </w:tcPr>
          <w:p>
            <w:r/>
            <w:r>
              <w:rPr>
                <w:b/>
                <w:color w:val="FFFFFF"/>
                <w:sz w:val="18"/>
              </w:rPr>
              <w:t>Custodian</w:t>
            </w:r>
          </w:p>
        </w:tc>
        <w:tc>
          <w:tcPr>
            <w:tcW w:type="dxa" w:w="1440"/>
            <w:shd w:val="clear" w:color="auto" w:fill="1F3A5F"/>
          </w:tcPr>
          <w:p>
            <w:r/>
            <w:r>
              <w:rPr>
                <w:b/>
                <w:color w:val="FFFFFF"/>
                <w:sz w:val="18"/>
              </w:rPr>
              <w:t>Role</w:t>
            </w:r>
          </w:p>
        </w:tc>
        <w:tc>
          <w:tcPr>
            <w:tcW w:type="dxa" w:w="2880"/>
            <w:shd w:val="clear" w:color="auto" w:fill="1F3A5F"/>
          </w:tcPr>
          <w:p>
            <w:r/>
            <w:r>
              <w:rPr>
                <w:b/>
                <w:color w:val="FFFFFF"/>
                <w:sz w:val="18"/>
              </w:rPr>
              <w:t>Why relevant</w:t>
            </w:r>
          </w:p>
        </w:tc>
        <w:tc>
          <w:tcPr>
            <w:tcW w:type="dxa" w:w="1152"/>
            <w:shd w:val="clear" w:color="auto" w:fill="1F3A5F"/>
          </w:tcPr>
          <w:p>
            <w:r/>
            <w:r>
              <w:rPr>
                <w:b/>
                <w:color w:val="FFFFFF"/>
                <w:sz w:val="18"/>
              </w:rPr>
              <w:t>Matter</w:t>
            </w:r>
          </w:p>
        </w:tc>
        <w:tc>
          <w:tcPr>
            <w:tcW w:type="dxa" w:w="2304"/>
            <w:shd w:val="clear" w:color="auto" w:fill="1F3A5F"/>
          </w:tcPr>
          <w:p>
            <w:r/>
            <w:r>
              <w:rPr>
                <w:b/>
                <w:color w:val="FFFFFF"/>
                <w:sz w:val="18"/>
              </w:rPr>
              <w:t>Notes</w:t>
            </w:r>
          </w:p>
        </w:tc>
      </w:tr>
      <w:tr>
        <w:tc>
          <w:tcPr>
            <w:tcW w:type="dxa" w:w="1584"/>
          </w:tcPr>
          <w:p>
            <w:r/>
            <w:r>
              <w:rPr>
                <w:sz w:val="18"/>
              </w:rPr>
              <w:t>Brett Collings</w:t>
            </w:r>
          </w:p>
        </w:tc>
        <w:tc>
          <w:tcPr>
            <w:tcW w:type="dxa" w:w="1440"/>
          </w:tcPr>
          <w:p>
            <w:r/>
            <w:r>
              <w:rPr>
                <w:sz w:val="18"/>
              </w:rPr>
              <w:t>RSM, Gulf Coast</w:t>
            </w:r>
          </w:p>
        </w:tc>
        <w:tc>
          <w:tcPr>
            <w:tcW w:type="dxa" w:w="2880"/>
          </w:tcPr>
          <w:p>
            <w:r/>
            <w:r>
              <w:rPr>
                <w:sz w:val="18"/>
              </w:rPr>
              <w:t>Received specific per-distributor Q2 targets; informal return assurances to distributors "via email or text message"</w:t>
            </w:r>
          </w:p>
        </w:tc>
        <w:tc>
          <w:tcPr>
            <w:tcW w:type="dxa" w:w="1152"/>
          </w:tcPr>
          <w:p>
            <w:r/>
            <w:r>
              <w:rPr>
                <w:sz w:val="18"/>
              </w:rPr>
              <w:t>S (K/S for reasonableness)</w:t>
            </w:r>
          </w:p>
        </w:tc>
        <w:tc>
          <w:tcPr>
            <w:tcW w:type="dxa" w:w="2304"/>
          </w:tcPr>
          <w:p>
            <w:r/>
            <w:r>
              <w:rPr>
                <w:sz w:val="18"/>
              </w:rPr>
              <w:t>His text messages are high risk. Find out whether he uses a company or personal phone (BYOD covers VP level and above only). Ask him to preserve the device and texts. Ridgeway targeted collection.</w:t>
            </w:r>
          </w:p>
        </w:tc>
      </w:tr>
      <w:tr>
        <w:tc>
          <w:tcPr>
            <w:tcW w:type="dxa" w:w="1584"/>
          </w:tcPr>
          <w:p>
            <w:r/>
            <w:r>
              <w:rPr>
                <w:sz w:val="18"/>
              </w:rPr>
              <w:t>Diana Muñoz</w:t>
            </w:r>
          </w:p>
        </w:tc>
        <w:tc>
          <w:tcPr>
            <w:tcW w:type="dxa" w:w="1440"/>
          </w:tcPr>
          <w:p>
            <w:r/>
            <w:r>
              <w:rPr>
                <w:sz w:val="18"/>
              </w:rPr>
              <w:t>RSM, Southwest</w:t>
            </w:r>
          </w:p>
        </w:tc>
        <w:tc>
          <w:tcPr>
            <w:tcW w:type="dxa" w:w="2880"/>
          </w:tcPr>
          <w:p>
            <w:r/>
            <w:r>
              <w:rPr>
                <w:sz w:val="18"/>
              </w:rPr>
              <w:t>Q3 volumes +30%; "stacking the channel"; raised concerns to Kovach</w:t>
            </w:r>
          </w:p>
        </w:tc>
        <w:tc>
          <w:tcPr>
            <w:tcW w:type="dxa" w:w="1152"/>
          </w:tcPr>
          <w:p>
            <w:r/>
            <w:r>
              <w:rPr>
                <w:sz w:val="18"/>
              </w:rPr>
              <w:t>K/S</w:t>
            </w:r>
          </w:p>
        </w:tc>
        <w:tc>
          <w:tcPr>
            <w:tcW w:type="dxa" w:w="2304"/>
          </w:tcPr>
          <w:p>
            <w:r/>
            <w:r>
              <w:rPr>
                <w:sz w:val="18"/>
              </w:rPr>
              <w:t>Her concerns to Kovach corroborate his reasonable belief</w:t>
            </w:r>
          </w:p>
        </w:tc>
      </w:tr>
      <w:tr>
        <w:tc>
          <w:tcPr>
            <w:tcW w:type="dxa" w:w="1584"/>
          </w:tcPr>
          <w:p>
            <w:r/>
            <w:r>
              <w:rPr>
                <w:sz w:val="18"/>
              </w:rPr>
              <w:t>Raj Patwardhan</w:t>
            </w:r>
          </w:p>
        </w:tc>
        <w:tc>
          <w:tcPr>
            <w:tcW w:type="dxa" w:w="1440"/>
          </w:tcPr>
          <w:p>
            <w:r/>
            <w:r>
              <w:rPr>
                <w:sz w:val="18"/>
              </w:rPr>
              <w:t>RSM, Northeast</w:t>
            </w:r>
          </w:p>
        </w:tc>
        <w:tc>
          <w:tcPr>
            <w:tcW w:type="dxa" w:w="2880"/>
          </w:tcPr>
          <w:p>
            <w:r/>
            <w:r>
              <w:rPr>
                <w:sz w:val="18"/>
              </w:rPr>
              <w:t>Gave investigators emails with acceleration directives</w:t>
            </w:r>
          </w:p>
        </w:tc>
        <w:tc>
          <w:tcPr>
            <w:tcW w:type="dxa" w:w="1152"/>
          </w:tcPr>
          <w:p>
            <w:r/>
            <w:r>
              <w:rPr>
                <w:sz w:val="18"/>
              </w:rPr>
              <w:t>S (K/S)</w:t>
            </w:r>
          </w:p>
        </w:tc>
        <w:tc>
          <w:tcPr>
            <w:tcW w:type="dxa" w:w="2304"/>
          </w:tcPr>
          <w:p>
            <w:r/>
            <w:r>
              <w:rPr>
                <w:sz w:val="18"/>
              </w:rPr>
              <w:t>Preserve originals in his mailbox as well as the copies in Pinnacle Hartwell's investigation file</w:t>
            </w:r>
          </w:p>
        </w:tc>
      </w:tr>
      <w:tr>
        <w:tc>
          <w:tcPr>
            <w:tcW w:type="dxa" w:w="1584"/>
          </w:tcPr>
          <w:p>
            <w:r/>
            <w:r>
              <w:rPr>
                <w:sz w:val="18"/>
              </w:rPr>
              <w:t>Frank Jessup</w:t>
            </w:r>
          </w:p>
        </w:tc>
        <w:tc>
          <w:tcPr>
            <w:tcW w:type="dxa" w:w="1440"/>
          </w:tcPr>
          <w:p>
            <w:r/>
            <w:r>
              <w:rPr>
                <w:sz w:val="18"/>
              </w:rPr>
              <w:t>VP Operations</w:t>
            </w:r>
          </w:p>
        </w:tc>
        <w:tc>
          <w:tcPr>
            <w:tcW w:type="dxa" w:w="2880"/>
          </w:tcPr>
          <w:p>
            <w:r/>
            <w:r>
              <w:rPr>
                <w:sz w:val="18"/>
              </w:rPr>
              <w:t>Extended shifts at Houston/Dallas DCs; "ship-ahead" before SAP POs finalized</w:t>
            </w:r>
          </w:p>
        </w:tc>
        <w:tc>
          <w:tcPr>
            <w:tcW w:type="dxa" w:w="1152"/>
          </w:tcPr>
          <w:p>
            <w:r/>
            <w:r>
              <w:rPr>
                <w:sz w:val="18"/>
              </w:rPr>
              <w:t>S</w:t>
            </w:r>
          </w:p>
        </w:tc>
        <w:tc>
          <w:tcPr>
            <w:tcW w:type="dxa" w:w="2304"/>
          </w:tcPr>
          <w:p>
            <w:r/>
            <w:r>
              <w:rPr>
                <w:sz w:val="18"/>
              </w:rPr>
              <w:t>Logistics and warehouse release records; he is VP level, so check BYOD enrollment</w:t>
            </w:r>
          </w:p>
        </w:tc>
      </w:tr>
      <w:tr>
        <w:tc>
          <w:tcPr>
            <w:tcW w:type="dxa" w:w="1584"/>
          </w:tcPr>
          <w:p>
            <w:r/>
            <w:r>
              <w:rPr>
                <w:sz w:val="18"/>
              </w:rPr>
              <w:t>Nathan Cross / Sarah Drummond (Pinnacle Hartwell)</w:t>
            </w:r>
          </w:p>
        </w:tc>
        <w:tc>
          <w:tcPr>
            <w:tcW w:type="dxa" w:w="1440"/>
          </w:tcPr>
          <w:p>
            <w:r/>
            <w:r>
              <w:rPr>
                <w:sz w:val="18"/>
              </w:rPr>
              <w:t>Outside counsel</w:t>
            </w:r>
          </w:p>
        </w:tc>
        <w:tc>
          <w:tcPr>
            <w:tcW w:type="dxa" w:w="2880"/>
          </w:tcPr>
          <w:p>
            <w:r/>
            <w:r>
              <w:rPr>
                <w:sz w:val="18"/>
              </w:rPr>
              <w:t>Investigation file, interview notes, documents collected</w:t>
            </w:r>
          </w:p>
        </w:tc>
        <w:tc>
          <w:tcPr>
            <w:tcW w:type="dxa" w:w="1152"/>
          </w:tcPr>
          <w:p>
            <w:r/>
            <w:r>
              <w:rPr>
                <w:sz w:val="18"/>
              </w:rPr>
              <w:t>K/S</w:t>
            </w:r>
          </w:p>
        </w:tc>
        <w:tc>
          <w:tcPr>
            <w:tcW w:type="dxa" w:w="2304"/>
          </w:tcPr>
          <w:p>
            <w:r/>
            <w:r>
              <w:rPr>
                <w:sz w:val="18"/>
              </w:rPr>
              <w:t>Not hold recipients. Send a written request to Pinnacle Hartwell to preserve the investigation file intact and kept separate from the defense file (engagement letter § 6).</w:t>
            </w:r>
          </w:p>
        </w:tc>
      </w:tr>
    </w:tbl>
    <w:p>
      <w:pPr>
        <w:spacing w:after="40"/>
      </w:pPr>
    </w:p>
    <w:p>
      <w:pPr>
        <w:pStyle w:val="Heading2"/>
      </w:pPr>
      <w:r>
        <w:t>C. Tier 3 — Expanded Scope (Largely SEC-Driven)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880"/>
            <w:shd w:val="clear" w:color="auto" w:fill="1F3A5F"/>
          </w:tcPr>
          <w:p>
            <w:r/>
            <w:r>
              <w:rPr>
                <w:b/>
                <w:color w:val="FFFFFF"/>
                <w:sz w:val="18"/>
              </w:rPr>
              <w:t>Custodian group</w:t>
            </w:r>
          </w:p>
        </w:tc>
        <w:tc>
          <w:tcPr>
            <w:tcW w:type="dxa" w:w="5040"/>
            <w:shd w:val="clear" w:color="auto" w:fill="1F3A5F"/>
          </w:tcPr>
          <w:p>
            <w:r/>
            <w:r>
              <w:rPr>
                <w:b/>
                <w:color w:val="FFFFFF"/>
                <w:sz w:val="18"/>
              </w:rPr>
              <w:t>Why relevant</w:t>
            </w:r>
          </w:p>
        </w:tc>
        <w:tc>
          <w:tcPr>
            <w:tcW w:type="dxa" w:w="1440"/>
            <w:shd w:val="clear" w:color="auto" w:fill="1F3A5F"/>
          </w:tcPr>
          <w:p>
            <w:r/>
            <w:r>
              <w:rPr>
                <w:b/>
                <w:color w:val="FFFFFF"/>
                <w:sz w:val="18"/>
              </w:rPr>
              <w:t>Matter</w:t>
            </w:r>
          </w:p>
        </w:tc>
      </w:tr>
      <w:tr>
        <w:tc>
          <w:tcPr>
            <w:tcW w:type="dxa" w:w="2880"/>
          </w:tcPr>
          <w:p>
            <w:r/>
            <w:r>
              <w:rPr>
                <w:sz w:val="18"/>
              </w:rPr>
              <w:t>Remaining 11 Regional Sales Managers (14 total less the 3 interviewed)</w:t>
            </w:r>
          </w:p>
        </w:tc>
        <w:tc>
          <w:tcPr>
            <w:tcW w:type="dxa" w:w="5040"/>
          </w:tcPr>
          <w:p>
            <w:r/>
            <w:r>
              <w:rPr>
                <w:sz w:val="18"/>
              </w:rPr>
              <w:t>Received the same quarter-end directives; distributor communications; SEC Requests 4–5 cover "sales, finance, and executive personnel"</w:t>
            </w:r>
          </w:p>
        </w:tc>
        <w:tc>
          <w:tcPr>
            <w:tcW w:type="dxa" w:w="1440"/>
          </w:tcPr>
          <w:p>
            <w:r/>
            <w:r>
              <w:rPr>
                <w:sz w:val="18"/>
              </w:rPr>
              <w:t>S</w:t>
            </w:r>
          </w:p>
        </w:tc>
      </w:tr>
      <w:tr>
        <w:tc>
          <w:tcPr>
            <w:tcW w:type="dxa" w:w="2880"/>
          </w:tcPr>
          <w:p>
            <w:r/>
            <w:r>
              <w:rPr>
                <w:sz w:val="18"/>
              </w:rPr>
              <w:t>Other 2 Sales Operations staff (Herrera's team)</w:t>
            </w:r>
          </w:p>
        </w:tc>
        <w:tc>
          <w:tcPr>
            <w:tcW w:type="dxa" w:w="5040"/>
          </w:tcPr>
          <w:p>
            <w:r/>
            <w:r>
              <w:rPr>
                <w:sz w:val="18"/>
              </w:rPr>
              <w:t>Salesforce administration, Inactive flagging, CRM "data accuracy" audits used in the PIP</w:t>
            </w:r>
          </w:p>
        </w:tc>
        <w:tc>
          <w:tcPr>
            <w:tcW w:type="dxa" w:w="1440"/>
          </w:tcPr>
          <w:p>
            <w:r/>
            <w:r>
              <w:rPr>
                <w:sz w:val="18"/>
              </w:rPr>
              <w:t>K/S</w:t>
            </w:r>
          </w:p>
        </w:tc>
      </w:tr>
      <w:tr>
        <w:tc>
          <w:tcPr>
            <w:tcW w:type="dxa" w:w="2880"/>
          </w:tcPr>
          <w:p>
            <w:r/>
            <w:r>
              <w:rPr>
                <w:sz w:val="18"/>
              </w:rPr>
              <w:t>Revenue accounting / AR / credit-memo staff reporting to Chen; FP&amp;A</w:t>
            </w:r>
          </w:p>
        </w:tc>
        <w:tc>
          <w:tcPr>
            <w:tcW w:type="dxa" w:w="5040"/>
          </w:tcPr>
          <w:p>
            <w:r/>
            <w:r>
              <w:rPr>
                <w:sz w:val="18"/>
              </w:rPr>
              <w:t>Return authorizations, credit memos, return reserves, quarterly forecasts</w:t>
            </w:r>
          </w:p>
        </w:tc>
        <w:tc>
          <w:tcPr>
            <w:tcW w:type="dxa" w:w="1440"/>
          </w:tcPr>
          <w:p>
            <w:r/>
            <w:r>
              <w:rPr>
                <w:sz w:val="18"/>
              </w:rPr>
              <w:t>S</w:t>
            </w:r>
          </w:p>
        </w:tc>
      </w:tr>
      <w:tr>
        <w:tc>
          <w:tcPr>
            <w:tcW w:type="dxa" w:w="2880"/>
          </w:tcPr>
          <w:p>
            <w:r/>
            <w:r>
              <w:rPr>
                <w:sz w:val="18"/>
              </w:rPr>
              <w:t>Houston and Dallas distribution center managers; logistics / shipping coordinators</w:t>
            </w:r>
          </w:p>
        </w:tc>
        <w:tc>
          <w:tcPr>
            <w:tcW w:type="dxa" w:w="5040"/>
          </w:tcPr>
          <w:p>
            <w:r/>
            <w:r>
              <w:rPr>
                <w:sz w:val="18"/>
              </w:rPr>
              <w:t>Bills of lading, proof of delivery, warehouse releases for final 10 business days of each quarter (SEC Request 2)</w:t>
            </w:r>
          </w:p>
        </w:tc>
        <w:tc>
          <w:tcPr>
            <w:tcW w:type="dxa" w:w="1440"/>
          </w:tcPr>
          <w:p>
            <w:r/>
            <w:r>
              <w:rPr>
                <w:sz w:val="18"/>
              </w:rPr>
              <w:t>S</w:t>
            </w:r>
          </w:p>
        </w:tc>
      </w:tr>
      <w:tr>
        <w:tc>
          <w:tcPr>
            <w:tcW w:type="dxa" w:w="2880"/>
          </w:tcPr>
          <w:p>
            <w:r/>
            <w:r>
              <w:rPr>
                <w:sz w:val="18"/>
              </w:rPr>
              <w:t>Other Audit Committee members; Corporate Secretary</w:t>
            </w:r>
          </w:p>
        </w:tc>
        <w:tc>
          <w:tcPr>
            <w:tcW w:type="dxa" w:w="5040"/>
          </w:tcPr>
          <w:p>
            <w:r/>
            <w:r>
              <w:rPr>
                <w:sz w:val="18"/>
              </w:rPr>
              <w:t>Board and Audit Committee minutes and materials Q1–Q3 2024 (SEC Request 6); whether and when the Aug 5 letter was shared</w:t>
            </w:r>
          </w:p>
        </w:tc>
        <w:tc>
          <w:tcPr>
            <w:tcW w:type="dxa" w:w="1440"/>
          </w:tcPr>
          <w:p>
            <w:r/>
            <w:r>
              <w:rPr>
                <w:sz w:val="18"/>
              </w:rPr>
              <w:t>K/S</w:t>
            </w:r>
          </w:p>
        </w:tc>
      </w:tr>
      <w:tr>
        <w:tc>
          <w:tcPr>
            <w:tcW w:type="dxa" w:w="2880"/>
          </w:tcPr>
          <w:p>
            <w:r/>
            <w:r>
              <w:rPr>
                <w:sz w:val="18"/>
              </w:rPr>
              <w:t>Investor Relations; SEC reporting / SOX compliance / Internal Audit</w:t>
            </w:r>
          </w:p>
        </w:tc>
        <w:tc>
          <w:tcPr>
            <w:tcW w:type="dxa" w:w="5040"/>
          </w:tcPr>
          <w:p>
            <w:r/>
            <w:r>
              <w:rPr>
                <w:sz w:val="18"/>
              </w:rPr>
              <w:t>"The Street is watching our top line"; 10-Q drafting; sub-certifications; ICFR testing</w:t>
            </w:r>
          </w:p>
        </w:tc>
        <w:tc>
          <w:tcPr>
            <w:tcW w:type="dxa" w:w="1440"/>
          </w:tcPr>
          <w:p>
            <w:r/>
            <w:r>
              <w:rPr>
                <w:sz w:val="18"/>
              </w:rPr>
              <w:t>S</w:t>
            </w:r>
          </w:p>
        </w:tc>
      </w:tr>
      <w:tr>
        <w:tc>
          <w:tcPr>
            <w:tcW w:type="dxa" w:w="2880"/>
          </w:tcPr>
          <w:p>
            <w:r/>
            <w:r>
              <w:rPr>
                <w:sz w:val="18"/>
              </w:rPr>
              <w:t>Salesforce admin team; SAP Basis team; IT (Novotny, Halverson, Dasgupta)</w:t>
            </w:r>
          </w:p>
        </w:tc>
        <w:tc>
          <w:tcPr>
            <w:tcW w:type="dxa" w:w="5040"/>
          </w:tcPr>
          <w:p>
            <w:r/>
            <w:r>
              <w:rPr>
                <w:sz w:val="18"/>
              </w:rPr>
              <w:t>Data stewards, not substantive custodians. Needed for system holds, audit logs, the decommissioning record, and the offboarding record.</w:t>
            </w:r>
          </w:p>
        </w:tc>
        <w:tc>
          <w:tcPr>
            <w:tcW w:type="dxa" w:w="1440"/>
          </w:tcPr>
          <w:p>
            <w:r/>
            <w:r>
              <w:rPr>
                <w:sz w:val="18"/>
              </w:rPr>
              <w:t>K/S</w:t>
            </w:r>
          </w:p>
        </w:tc>
      </w:tr>
      <w:tr>
        <w:tc>
          <w:tcPr>
            <w:tcW w:type="dxa" w:w="2880"/>
          </w:tcPr>
          <w:p>
            <w:r/>
            <w:r>
              <w:rPr>
                <w:sz w:val="18"/>
              </w:rPr>
              <w:t>Legal Department (you and me)</w:t>
            </w:r>
          </w:p>
        </w:tc>
        <w:tc>
          <w:tcPr>
            <w:tcW w:type="dxa" w:w="5040"/>
          </w:tcPr>
          <w:p>
            <w:r/>
            <w:r>
              <w:rPr>
                <w:sz w:val="18"/>
              </w:rPr>
              <w:t>Aug 5 consultation with Ainsley; demand response; hold history. Privileged, but must be preserved and later logged.</w:t>
            </w:r>
          </w:p>
        </w:tc>
        <w:tc>
          <w:tcPr>
            <w:tcW w:type="dxa" w:w="1440"/>
          </w:tcPr>
          <w:p>
            <w:r/>
            <w:r>
              <w:rPr>
                <w:sz w:val="18"/>
              </w:rPr>
              <w:t>K/S</w:t>
            </w:r>
          </w:p>
        </w:tc>
      </w:tr>
      <w:tr>
        <w:tc>
          <w:tcPr>
            <w:tcW w:type="dxa" w:w="2880"/>
          </w:tcPr>
          <w:p>
            <w:r/>
            <w:r>
              <w:rPr>
                <w:sz w:val="18"/>
              </w:rPr>
              <w:t>Monterrey plant personnel</w:t>
            </w:r>
          </w:p>
        </w:tc>
        <w:tc>
          <w:tcPr>
            <w:tcW w:type="dxa" w:w="5040"/>
          </w:tcPr>
          <w:p>
            <w:r/>
            <w:r>
              <w:rPr>
                <w:sz w:val="18"/>
              </w:rPr>
              <w:t>Only if the Americas quota included Mexico (see discrepancy in § IX). Hold M365 now as a precaution; defer the Monterrey Salesforce org and NXF-MTY-FS01 pending confirmation.</w:t>
            </w:r>
          </w:p>
        </w:tc>
        <w:tc>
          <w:tcPr>
            <w:tcW w:type="dxa" w:w="1440"/>
          </w:tcPr>
          <w:p>
            <w:r/>
            <w:r>
              <w:rPr>
                <w:sz w:val="18"/>
              </w:rPr>
              <w:t>S (conditional)</w:t>
            </w:r>
          </w:p>
        </w:tc>
      </w:tr>
      <w:tr>
        <w:tc>
          <w:tcPr>
            <w:tcW w:type="dxa" w:w="2880"/>
          </w:tcPr>
          <w:p>
            <w:r/>
            <w:r>
              <w:rPr>
                <w:sz w:val="18"/>
              </w:rPr>
              <w:t>Third parties: Caldwell Thornton; key channel distributors</w:t>
            </w:r>
          </w:p>
        </w:tc>
        <w:tc>
          <w:tcPr>
            <w:tcW w:type="dxa" w:w="5040"/>
          </w:tcPr>
          <w:p>
            <w:r/>
            <w:r>
              <w:rPr>
                <w:sz w:val="18"/>
              </w:rPr>
              <w:t>Auditor communications (SEC Request 7); distributors hold the other side of the informal return assurances. We don't control their data. Coordinate with Pinnacle Hartwell and the Audit Committee on any auditor notice; do not contact distributors without outside counsel.</w:t>
            </w:r>
          </w:p>
        </w:tc>
        <w:tc>
          <w:tcPr>
            <w:tcW w:type="dxa" w:w="1440"/>
          </w:tcPr>
          <w:p>
            <w:r/>
            <w:r>
              <w:rPr>
                <w:sz w:val="18"/>
              </w:rPr>
              <w:t>S</w:t>
            </w:r>
          </w:p>
        </w:tc>
      </w:tr>
    </w:tbl>
    <w:p>
      <w:pPr>
        <w:spacing w:after="40"/>
      </w:pPr>
    </w:p>
    <w:p>
      <w:pPr>
        <w:pStyle w:val="Heading2"/>
      </w:pPr>
      <w:r>
        <w:t>D. Custodians Unique to One Matter (Your November 5 Request)</w:t>
      </w:r>
    </w:p>
    <w:p>
      <w:pPr>
        <w:pStyle w:val="ListBullet"/>
        <w:spacing w:after="60"/>
      </w:pPr>
      <w:r>
        <w:rPr>
          <w:b/>
        </w:rPr>
        <w:t xml:space="preserve">Kovach only: </w:t>
      </w:r>
      <w:r>
        <w:rPr>
          <w:i w:val="0"/>
        </w:rPr>
        <w:t>Janet Purdy as a custodian of substance (PIP, termination, severance); HR/SuccessFactors records; BYOD enrollment records; Kovach's personnel file and severance materials.</w:t>
      </w:r>
    </w:p>
    <w:p>
      <w:pPr>
        <w:pStyle w:val="ListBullet"/>
        <w:spacing w:after="60"/>
      </w:pPr>
      <w:r>
        <w:rPr>
          <w:b/>
        </w:rPr>
        <w:t xml:space="preserve">SEC primarily: </w:t>
      </w:r>
      <w:r>
        <w:rPr>
          <w:i w:val="0"/>
        </w:rPr>
        <w:t>Frank Jessup and the DC/logistics staff; the remaining 11 RSMs; revenue accounting/AR staff; IR/SEC reporting/Internal Audit; Caldwell Thornton communications; Board materials not tied to Kovach. Note that Jessup and the RSMs also bear on whether Kovach's belief was reasonable, so Stadler Raines will probably seek them anyway.</w:t>
      </w:r>
    </w:p>
    <w:p>
      <w:pPr>
        <w:pStyle w:val="ListBullet"/>
        <w:spacing w:after="60"/>
      </w:pPr>
      <w:r>
        <w:rPr>
          <w:b/>
        </w:rPr>
        <w:t xml:space="preserve">Both: </w:t>
      </w:r>
      <w:r>
        <w:rPr>
          <w:i w:val="0"/>
        </w:rPr>
        <w:t>Kovach, Sokolova, Ellicott, Chen, Herrera, Ainsley, Collings, Muñoz, Patwardhan. That is a large overlap, which is the main reason to run a single hold.</w:t>
      </w:r>
    </w:p>
    <w:p>
      <w:pPr>
        <w:pStyle w:val="Heading1"/>
      </w:pPr>
      <w:r>
        <w:t>V. Data Source Inventory and Spoliation Risk Assessment</w:t>
      </w:r>
    </w:p>
    <w:p>
      <w:pPr>
        <w:pStyle w:val="Heading2"/>
      </w:pPr>
      <w:r>
        <w:t>A. Data Source Inventory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728"/>
            <w:shd w:val="clear" w:color="auto" w:fill="1F3A5F"/>
          </w:tcPr>
          <w:p>
            <w:r/>
            <w:r>
              <w:rPr>
                <w:b/>
                <w:color w:val="FFFFFF"/>
                <w:sz w:val="16"/>
              </w:rPr>
              <w:t>Source</w:t>
            </w:r>
          </w:p>
        </w:tc>
        <w:tc>
          <w:tcPr>
            <w:tcW w:type="dxa" w:w="2016"/>
            <w:shd w:val="clear" w:color="auto" w:fill="1F3A5F"/>
          </w:tcPr>
          <w:p>
            <w:r/>
            <w:r>
              <w:rPr>
                <w:b/>
                <w:color w:val="FFFFFF"/>
                <w:sz w:val="16"/>
              </w:rPr>
              <w:t>Retention / status</w:t>
            </w:r>
          </w:p>
        </w:tc>
        <w:tc>
          <w:tcPr>
            <w:tcW w:type="dxa" w:w="1152"/>
            <w:shd w:val="clear" w:color="auto" w:fill="1F3A5F"/>
          </w:tcPr>
          <w:p>
            <w:r/>
            <w:r>
              <w:rPr>
                <w:b/>
                <w:color w:val="FFFFFF"/>
                <w:sz w:val="16"/>
              </w:rPr>
              <w:t>Risk</w:t>
            </w:r>
          </w:p>
        </w:tc>
        <w:tc>
          <w:tcPr>
            <w:tcW w:type="dxa" w:w="864"/>
            <w:shd w:val="clear" w:color="auto" w:fill="1F3A5F"/>
          </w:tcPr>
          <w:p>
            <w:r/>
            <w:r>
              <w:rPr>
                <w:b/>
                <w:color w:val="FFFFFF"/>
                <w:sz w:val="16"/>
              </w:rPr>
              <w:t>Matter</w:t>
            </w:r>
          </w:p>
        </w:tc>
        <w:tc>
          <w:tcPr>
            <w:tcW w:type="dxa" w:w="3600"/>
            <w:shd w:val="clear" w:color="auto" w:fill="1F3A5F"/>
          </w:tcPr>
          <w:p>
            <w:r/>
            <w:r>
              <w:rPr>
                <w:b/>
                <w:color w:val="FFFFFF"/>
                <w:sz w:val="16"/>
              </w:rPr>
              <w:t>Required action</w:t>
            </w:r>
          </w:p>
        </w:tc>
      </w:tr>
      <w:tr>
        <w:tc>
          <w:tcPr>
            <w:tcW w:type="dxa" w:w="1728"/>
          </w:tcPr>
          <w:p>
            <w:r/>
            <w:r>
              <w:rPr>
                <w:sz w:val="16"/>
              </w:rPr>
              <w:t>M365 Exchange Online</w:t>
            </w:r>
          </w:p>
        </w:tc>
        <w:tc>
          <w:tcPr>
            <w:tcW w:type="dxa" w:w="2016"/>
          </w:tcPr>
          <w:p>
            <w:r/>
            <w:r>
              <w:rPr>
                <w:sz w:val="16"/>
              </w:rPr>
              <w:t>7-yr retention policy; deleted items 30 days in Recoverable Items; no eDiscovery hold</w:t>
            </w:r>
          </w:p>
        </w:tc>
        <w:tc>
          <w:tcPr>
            <w:tcW w:type="dxa" w:w="1152"/>
          </w:tcPr>
          <w:p>
            <w:r/>
            <w:r>
              <w:rPr>
                <w:sz w:val="16"/>
              </w:rPr>
              <w:t>Medium</w:t>
            </w:r>
          </w:p>
        </w:tc>
        <w:tc>
          <w:tcPr>
            <w:tcW w:type="dxa" w:w="864"/>
          </w:tcPr>
          <w:p>
            <w:r/>
            <w:r>
              <w:rPr>
                <w:sz w:val="16"/>
              </w:rPr>
              <w:t>K/S</w:t>
            </w:r>
          </w:p>
        </w:tc>
        <w:tc>
          <w:tcPr>
            <w:tcW w:type="dxa" w:w="3600"/>
          </w:tcPr>
          <w:p>
            <w:r/>
            <w:r>
              <w:rPr>
                <w:sz w:val="16"/>
              </w:rPr>
              <w:t>eDiscovery case hold on all Tier 1–2 mailboxes today and Tier 3 within 5 business days. Confirm with Dasgupta whether the 7-yr policy is "retain" (keeps deleted items) or only "delete after 7 years."</w:t>
            </w:r>
          </w:p>
        </w:tc>
      </w:tr>
      <w:tr>
        <w:tc>
          <w:tcPr>
            <w:tcW w:type="dxa" w:w="1728"/>
          </w:tcPr>
          <w:p>
            <w:r/>
            <w:r>
              <w:rPr>
                <w:sz w:val="16"/>
              </w:rPr>
              <w:t>Kovach M365 mailbox (shared)</w:t>
            </w:r>
          </w:p>
        </w:tc>
        <w:tc>
          <w:tcPr>
            <w:tcW w:type="dxa" w:w="2016"/>
          </w:tcPr>
          <w:p>
            <w:r/>
            <w:r>
              <w:rPr>
                <w:sz w:val="16"/>
              </w:rPr>
              <w:t>Intact from Apr 1, 2024; no hold</w:t>
            </w:r>
          </w:p>
        </w:tc>
        <w:tc>
          <w:tcPr>
            <w:tcW w:type="dxa" w:w="1152"/>
          </w:tcPr>
          <w:p>
            <w:r/>
            <w:r>
              <w:rPr>
                <w:sz w:val="16"/>
              </w:rPr>
              <w:t>High</w:t>
            </w:r>
          </w:p>
        </w:tc>
        <w:tc>
          <w:tcPr>
            <w:tcW w:type="dxa" w:w="864"/>
          </w:tcPr>
          <w:p>
            <w:r/>
            <w:r>
              <w:rPr>
                <w:sz w:val="16"/>
              </w:rPr>
              <w:t>K/S</w:t>
            </w:r>
          </w:p>
        </w:tc>
        <w:tc>
          <w:tcPr>
            <w:tcW w:type="dxa" w:w="3600"/>
          </w:tcPr>
          <w:p>
            <w:r/>
            <w:r>
              <w:rPr>
                <w:sz w:val="16"/>
              </w:rPr>
              <w:t>Hold today; Ridgeway forensic export. Confirm license/shared-mailbox status won't trigger deletion.</w:t>
            </w:r>
          </w:p>
        </w:tc>
      </w:tr>
      <w:tr>
        <w:tc>
          <w:tcPr>
            <w:tcW w:type="dxa" w:w="1728"/>
          </w:tcPr>
          <w:p>
            <w:r/>
            <w:r>
              <w:rPr>
                <w:sz w:val="16"/>
              </w:rPr>
              <w:t>Veritas Enterprise Vault (NXF-EV01)</w:t>
            </w:r>
          </w:p>
        </w:tc>
        <w:tc>
          <w:tcPr>
            <w:tcW w:type="dxa" w:w="2016"/>
          </w:tcPr>
          <w:p>
            <w:r/>
            <w:r>
              <w:rPr>
                <w:sz w:val="16"/>
              </w:rPr>
              <w:t>Indefinite, no purge; 421 mailboxes with incomplete ingestion</w:t>
            </w:r>
          </w:p>
        </w:tc>
        <w:tc>
          <w:tcPr>
            <w:tcW w:type="dxa" w:w="1152"/>
          </w:tcPr>
          <w:p>
            <w:r/>
            <w:r>
              <w:rPr>
                <w:sz w:val="16"/>
              </w:rPr>
              <w:t>Medium (gap already exists)</w:t>
            </w:r>
          </w:p>
        </w:tc>
        <w:tc>
          <w:tcPr>
            <w:tcW w:type="dxa" w:w="864"/>
          </w:tcPr>
          <w:p>
            <w:r/>
            <w:r>
              <w:rPr>
                <w:sz w:val="16"/>
              </w:rPr>
              <w:t>K/S (Jan–Mar 2024 = Q1)</w:t>
            </w:r>
          </w:p>
        </w:tc>
        <w:tc>
          <w:tcPr>
            <w:tcW w:type="dxa" w:w="3600"/>
          </w:tcPr>
          <w:p>
            <w:r/>
            <w:r>
              <w:rPr>
                <w:sz w:val="16"/>
              </w:rPr>
              <w:t>Separate written hold. Cross-reference the remediation log against the custodian list today. Ridgeway forensic image before any Q1 2025 remediation touches the archive.</w:t>
            </w:r>
          </w:p>
        </w:tc>
      </w:tr>
      <w:tr>
        <w:tc>
          <w:tcPr>
            <w:tcW w:type="dxa" w:w="1728"/>
            <w:shd w:val="clear" w:color="auto" w:fill="F4CCCC"/>
          </w:tcPr>
          <w:p>
            <w:r/>
            <w:r>
              <w:rPr>
                <w:b/>
                <w:sz w:val="16"/>
              </w:rPr>
              <w:t>Teams 1:1 / group chat</w:t>
            </w:r>
          </w:p>
        </w:tc>
        <w:tc>
          <w:tcPr>
            <w:tcW w:type="dxa" w:w="2016"/>
          </w:tcPr>
          <w:p>
            <w:r/>
            <w:r>
              <w:rPr>
                <w:sz w:val="16"/>
              </w:rPr>
              <w:t>90-day auto-purge, running</w:t>
            </w:r>
          </w:p>
        </w:tc>
        <w:tc>
          <w:tcPr>
            <w:tcW w:type="dxa" w:w="1152"/>
          </w:tcPr>
          <w:p>
            <w:r/>
            <w:r>
              <w:rPr>
                <w:sz w:val="16"/>
              </w:rPr>
              <w:t>Critical — ongoing loss</w:t>
            </w:r>
          </w:p>
        </w:tc>
        <w:tc>
          <w:tcPr>
            <w:tcW w:type="dxa" w:w="864"/>
          </w:tcPr>
          <w:p>
            <w:r/>
            <w:r>
              <w:rPr>
                <w:sz w:val="16"/>
              </w:rPr>
              <w:t>K/S</w:t>
            </w:r>
          </w:p>
        </w:tc>
        <w:tc>
          <w:tcPr>
            <w:tcW w:type="dxa" w:w="3600"/>
          </w:tcPr>
          <w:p>
            <w:r/>
            <w:r>
              <w:rPr>
                <w:sz w:val="16"/>
              </w:rPr>
              <w:t>Tenant-wide suspension of the chat purge policy (preferred over custodian-only; more defensible, since other staff chatted with custodians) plus custodian eDiscovery holds. Pull unified audit log metadata for purged chats before it ages out.</w:t>
            </w:r>
          </w:p>
        </w:tc>
      </w:tr>
      <w:tr>
        <w:tc>
          <w:tcPr>
            <w:tcW w:type="dxa" w:w="1728"/>
            <w:shd w:val="clear" w:color="auto" w:fill="FCE5CD"/>
          </w:tcPr>
          <w:p>
            <w:r/>
            <w:r>
              <w:rPr>
                <w:b/>
                <w:sz w:val="16"/>
              </w:rPr>
              <w:t>Teams channel messages</w:t>
            </w:r>
          </w:p>
        </w:tc>
        <w:tc>
          <w:tcPr>
            <w:tcW w:type="dxa" w:w="2016"/>
          </w:tcPr>
          <w:p>
            <w:r/>
            <w:r>
              <w:rPr>
                <w:sz w:val="16"/>
              </w:rPr>
              <w:t>1-year auto-purge</w:t>
            </w:r>
          </w:p>
        </w:tc>
        <w:tc>
          <w:tcPr>
            <w:tcW w:type="dxa" w:w="1152"/>
          </w:tcPr>
          <w:p>
            <w:r/>
            <w:r>
              <w:rPr>
                <w:sz w:val="16"/>
              </w:rPr>
              <w:t>High — Q1 2024 posts begin purging Jan 2025</w:t>
            </w:r>
          </w:p>
        </w:tc>
        <w:tc>
          <w:tcPr>
            <w:tcW w:type="dxa" w:w="864"/>
          </w:tcPr>
          <w:p>
            <w:r/>
            <w:r>
              <w:rPr>
                <w:sz w:val="16"/>
              </w:rPr>
              <w:t>K/S</w:t>
            </w:r>
          </w:p>
        </w:tc>
        <w:tc>
          <w:tcPr>
            <w:tcW w:type="dxa" w:w="3600"/>
          </w:tcPr>
          <w:p>
            <w:r/>
            <w:r>
              <w:rPr>
                <w:sz w:val="16"/>
              </w:rPr>
              <w:t>Suspend with chat policy; hold Sales, Finance, and Ops team sites.</w:t>
            </w:r>
          </w:p>
        </w:tc>
      </w:tr>
      <w:tr>
        <w:tc>
          <w:tcPr>
            <w:tcW w:type="dxa" w:w="1728"/>
          </w:tcPr>
          <w:p>
            <w:r/>
            <w:r>
              <w:rPr>
                <w:sz w:val="16"/>
              </w:rPr>
              <w:t>SharePoint / OneDrive (incl. Teams files)</w:t>
            </w:r>
          </w:p>
        </w:tc>
        <w:tc>
          <w:tcPr>
            <w:tcW w:type="dxa" w:w="2016"/>
          </w:tcPr>
          <w:p>
            <w:r/>
            <w:r>
              <w:rPr>
                <w:sz w:val="16"/>
              </w:rPr>
              <w:t>7-yr</w:t>
            </w:r>
          </w:p>
        </w:tc>
        <w:tc>
          <w:tcPr>
            <w:tcW w:type="dxa" w:w="1152"/>
          </w:tcPr>
          <w:p>
            <w:r/>
            <w:r>
              <w:rPr>
                <w:sz w:val="16"/>
              </w:rPr>
              <w:t>Medium</w:t>
            </w:r>
          </w:p>
        </w:tc>
        <w:tc>
          <w:tcPr>
            <w:tcW w:type="dxa" w:w="864"/>
          </w:tcPr>
          <w:p>
            <w:r/>
            <w:r>
              <w:rPr>
                <w:sz w:val="16"/>
              </w:rPr>
              <w:t>K/S</w:t>
            </w:r>
          </w:p>
        </w:tc>
        <w:tc>
          <w:tcPr>
            <w:tcW w:type="dxa" w:w="3600"/>
          </w:tcPr>
          <w:p>
            <w:r/>
            <w:r>
              <w:rPr>
                <w:sz w:val="16"/>
              </w:rPr>
              <w:t>Holds on custodian OneDrives and relevant sites. Verify Kovach's OneDrive was not deleted in offboarding (M365 default removes departed users' OneDrive after a retention window).</w:t>
            </w:r>
          </w:p>
        </w:tc>
      </w:tr>
      <w:tr>
        <w:tc>
          <w:tcPr>
            <w:tcW w:type="dxa" w:w="1728"/>
            <w:shd w:val="clear" w:color="auto" w:fill="F4CCCC"/>
          </w:tcPr>
          <w:p>
            <w:r/>
            <w:r>
              <w:rPr>
                <w:b/>
                <w:sz w:val="16"/>
              </w:rPr>
              <w:t>Salesforce (U.S. org)</w:t>
            </w:r>
          </w:p>
        </w:tc>
        <w:tc>
          <w:tcPr>
            <w:tcW w:type="dxa" w:w="2016"/>
          </w:tcPr>
          <w:p>
            <w:r/>
            <w:r>
              <w:rPr>
                <w:sz w:val="16"/>
              </w:rPr>
              <w:t>Inactive records auto-deleted at 18 months; nightly 2:00 a.m. batch; 15-day recycle bin</w:t>
            </w:r>
          </w:p>
        </w:tc>
        <w:tc>
          <w:tcPr>
            <w:tcW w:type="dxa" w:w="1152"/>
          </w:tcPr>
          <w:p>
            <w:r/>
            <w:r>
              <w:rPr>
                <w:sz w:val="16"/>
              </w:rPr>
              <w:t>Critical — ongoing loss</w:t>
            </w:r>
          </w:p>
        </w:tc>
        <w:tc>
          <w:tcPr>
            <w:tcW w:type="dxa" w:w="864"/>
          </w:tcPr>
          <w:p>
            <w:r/>
            <w:r>
              <w:rPr>
                <w:sz w:val="16"/>
              </w:rPr>
              <w:t>K/S</w:t>
            </w:r>
          </w:p>
        </w:tc>
        <w:tc>
          <w:tcPr>
            <w:tcW w:type="dxa" w:w="3600"/>
          </w:tcPr>
          <w:p>
            <w:r/>
            <w:r>
              <w:rPr>
                <w:sz w:val="16"/>
              </w:rPr>
              <w:t>Suspend batch job today. Restore from recycle bin everything deleted in the past 15 days. Revoke Inactive flagging by Sales Ops. Data Loader export of channel accounts/opportunities plus field history and setup audit trail (1–2 days). Keep the batch job run logs.</w:t>
            </w:r>
          </w:p>
        </w:tc>
      </w:tr>
      <w:tr>
        <w:tc>
          <w:tcPr>
            <w:tcW w:type="dxa" w:w="1728"/>
          </w:tcPr>
          <w:p>
            <w:r/>
            <w:r>
              <w:rPr>
                <w:sz w:val="16"/>
              </w:rPr>
              <w:t>SAP S/4HANA</w:t>
            </w:r>
          </w:p>
        </w:tc>
        <w:tc>
          <w:tcPr>
            <w:tcW w:type="dxa" w:w="2016"/>
          </w:tcPr>
          <w:p>
            <w:r/>
            <w:r>
              <w:rPr>
                <w:sz w:val="16"/>
              </w:rPr>
              <w:t>7 yr / permanent GL; no auto-delete</w:t>
            </w:r>
          </w:p>
        </w:tc>
        <w:tc>
          <w:tcPr>
            <w:tcW w:type="dxa" w:w="1152"/>
          </w:tcPr>
          <w:p>
            <w:r/>
            <w:r>
              <w:rPr>
                <w:sz w:val="16"/>
              </w:rPr>
              <w:t>Low</w:t>
            </w:r>
          </w:p>
        </w:tc>
        <w:tc>
          <w:tcPr>
            <w:tcW w:type="dxa" w:w="864"/>
          </w:tcPr>
          <w:p>
            <w:r/>
            <w:r>
              <w:rPr>
                <w:sz w:val="16"/>
              </w:rPr>
              <w:t>S (K/S)</w:t>
            </w:r>
          </w:p>
        </w:tc>
        <w:tc>
          <w:tcPr>
            <w:tcW w:type="dxa" w:w="3600"/>
          </w:tcPr>
          <w:p>
            <w:r/>
            <w:r>
              <w:rPr>
                <w:sz w:val="16"/>
              </w:rPr>
              <w:t>Written hold to Controller and SAP Basis. Because Chen is a Tier 1 custodian, Ridgeway (not Chen's team alone) should supervise the Q1–Q3 2024 extraction: orders, deliveries, invoices, credit memos, RMAs, change documents/audit logs.</w:t>
            </w:r>
          </w:p>
        </w:tc>
      </w:tr>
      <w:tr>
        <w:tc>
          <w:tcPr>
            <w:tcW w:type="dxa" w:w="1728"/>
            <w:shd w:val="clear" w:color="auto" w:fill="FCE5CD"/>
          </w:tcPr>
          <w:p>
            <w:r/>
            <w:r>
              <w:rPr>
                <w:b/>
                <w:sz w:val="16"/>
              </w:rPr>
              <w:t>NXF-FS01 file server</w:t>
            </w:r>
          </w:p>
        </w:tc>
        <w:tc>
          <w:tcPr>
            <w:tcW w:type="dxa" w:w="2016"/>
          </w:tcPr>
          <w:p>
            <w:r/>
            <w:r>
              <w:rPr>
                <w:sz w:val="16"/>
              </w:rPr>
              <w:t>Decommission Jan 31, 2025; ~40% of Sales files "stale" and slated for deletion; migration 35% done</w:t>
            </w:r>
          </w:p>
        </w:tc>
        <w:tc>
          <w:tcPr>
            <w:tcW w:type="dxa" w:w="1152"/>
          </w:tcPr>
          <w:p>
            <w:r/>
            <w:r>
              <w:rPr>
                <w:sz w:val="16"/>
              </w:rPr>
              <w:t>High (scheduled)</w:t>
            </w:r>
          </w:p>
        </w:tc>
        <w:tc>
          <w:tcPr>
            <w:tcW w:type="dxa" w:w="864"/>
          </w:tcPr>
          <w:p>
            <w:r/>
            <w:r>
              <w:rPr>
                <w:sz w:val="16"/>
              </w:rPr>
              <w:t>K/S</w:t>
            </w:r>
          </w:p>
        </w:tc>
        <w:tc>
          <w:tcPr>
            <w:tcW w:type="dxa" w:w="3600"/>
          </w:tcPr>
          <w:p>
            <w:r/>
            <w:r>
              <w:rPr>
                <w:sz w:val="16"/>
              </w:rPr>
              <w:t>Written direction under Policy § 3.6: no destruction without Legal's written release. Ridgeway full forensic image (4.2 TB, 8–10 hrs) now, before more migration, preserving metadata. Kovach's folders and Herrera's Sales Ops folders are the priority.</w:t>
            </w:r>
          </w:p>
        </w:tc>
      </w:tr>
      <w:tr>
        <w:tc>
          <w:tcPr>
            <w:tcW w:type="dxa" w:w="1728"/>
          </w:tcPr>
          <w:p>
            <w:r/>
            <w:r>
              <w:rPr>
                <w:sz w:val="16"/>
              </w:rPr>
              <w:t>On-prem backups</w:t>
            </w:r>
          </w:p>
        </w:tc>
        <w:tc>
          <w:tcPr>
            <w:tcW w:type="dxa" w:w="2016"/>
          </w:tcPr>
          <w:p>
            <w:r/>
            <w:r>
              <w:rPr>
                <w:sz w:val="16"/>
              </w:rPr>
              <w:t>Rolling 90 days</w:t>
            </w:r>
          </w:p>
        </w:tc>
        <w:tc>
          <w:tcPr>
            <w:tcW w:type="dxa" w:w="1152"/>
          </w:tcPr>
          <w:p>
            <w:r/>
            <w:r>
              <w:rPr>
                <w:sz w:val="16"/>
              </w:rPr>
              <w:t>High</w:t>
            </w:r>
          </w:p>
        </w:tc>
        <w:tc>
          <w:tcPr>
            <w:tcW w:type="dxa" w:w="864"/>
          </w:tcPr>
          <w:p>
            <w:r/>
            <w:r>
              <w:rPr>
                <w:sz w:val="16"/>
              </w:rPr>
              <w:t>K/S</w:t>
            </w:r>
          </w:p>
        </w:tc>
        <w:tc>
          <w:tcPr>
            <w:tcW w:type="dxa" w:w="3600"/>
          </w:tcPr>
          <w:p>
            <w:r/>
            <w:r>
              <w:rPr>
                <w:sz w:val="16"/>
              </w:rPr>
              <w:t>Suspend rotation; pull current backup sets of EV, FS01, and SAP out of rotation. Backups older than about Aug 10 are already overwritten.</w:t>
            </w:r>
          </w:p>
        </w:tc>
      </w:tr>
      <w:tr>
        <w:tc>
          <w:tcPr>
            <w:tcW w:type="dxa" w:w="1728"/>
            <w:shd w:val="clear" w:color="auto" w:fill="F4CCCC"/>
          </w:tcPr>
          <w:p>
            <w:r/>
            <w:r>
              <w:rPr>
                <w:b/>
                <w:sz w:val="16"/>
              </w:rPr>
              <w:t>Kovach personal iPhone</w:t>
            </w:r>
          </w:p>
        </w:tc>
        <w:tc>
          <w:tcPr>
            <w:tcW w:type="dxa" w:w="2016"/>
          </w:tcPr>
          <w:p>
            <w:r/>
            <w:r>
              <w:rPr>
                <w:sz w:val="16"/>
              </w:rPr>
              <w:t>No MDM; not in our control; no preservation notice given at termination</w:t>
            </w:r>
          </w:p>
        </w:tc>
        <w:tc>
          <w:tcPr>
            <w:tcW w:type="dxa" w:w="1152"/>
          </w:tcPr>
          <w:p>
            <w:r/>
            <w:r>
              <w:rPr>
                <w:sz w:val="16"/>
              </w:rPr>
              <w:t>Critical</w:t>
            </w:r>
          </w:p>
        </w:tc>
        <w:tc>
          <w:tcPr>
            <w:tcW w:type="dxa" w:w="864"/>
          </w:tcPr>
          <w:p>
            <w:r/>
            <w:r>
              <w:rPr>
                <w:sz w:val="16"/>
              </w:rPr>
              <w:t>K/S</w:t>
            </w:r>
          </w:p>
        </w:tc>
        <w:tc>
          <w:tcPr>
            <w:tcW w:type="dxa" w:w="3600"/>
          </w:tcPr>
          <w:p>
            <w:r/>
            <w:r>
              <w:rPr>
                <w:sz w:val="16"/>
              </w:rPr>
              <w:t>Preservation demand to Stadler Raines (§ VII.B)</w:t>
            </w:r>
          </w:p>
        </w:tc>
      </w:tr>
      <w:tr>
        <w:tc>
          <w:tcPr>
            <w:tcW w:type="dxa" w:w="1728"/>
          </w:tcPr>
          <w:p>
            <w:r/>
            <w:r>
              <w:rPr>
                <w:sz w:val="16"/>
              </w:rPr>
              <w:t>Kovach returned Dell laptop</w:t>
            </w:r>
          </w:p>
        </w:tc>
        <w:tc>
          <w:tcPr>
            <w:tcW w:type="dxa" w:w="2016"/>
          </w:tcPr>
          <w:p>
            <w:r/>
            <w:r>
              <w:rPr>
                <w:sz w:val="16"/>
              </w:rPr>
              <w:t>Not in IT memo</w:t>
            </w:r>
          </w:p>
        </w:tc>
        <w:tc>
          <w:tcPr>
            <w:tcW w:type="dxa" w:w="1152"/>
          </w:tcPr>
          <w:p>
            <w:r/>
            <w:r>
              <w:rPr>
                <w:sz w:val="16"/>
              </w:rPr>
              <w:t>Unknown — possibly reimaged</w:t>
            </w:r>
          </w:p>
        </w:tc>
        <w:tc>
          <w:tcPr>
            <w:tcW w:type="dxa" w:w="864"/>
          </w:tcPr>
          <w:p>
            <w:r/>
            <w:r>
              <w:rPr>
                <w:sz w:val="16"/>
              </w:rPr>
              <w:t>K/S</w:t>
            </w:r>
          </w:p>
        </w:tc>
        <w:tc>
          <w:tcPr>
            <w:tcW w:type="dxa" w:w="3600"/>
          </w:tcPr>
          <w:p>
            <w:r/>
            <w:r>
              <w:rPr>
                <w:sz w:val="16"/>
              </w:rPr>
              <w:t>Confirm today whether it was wiped or reissued; if intact, sequester and have Ridgeway image it.</w:t>
            </w:r>
          </w:p>
        </w:tc>
      </w:tr>
      <w:tr>
        <w:tc>
          <w:tcPr>
            <w:tcW w:type="dxa" w:w="1728"/>
          </w:tcPr>
          <w:p>
            <w:r/>
            <w:r>
              <w:rPr>
                <w:sz w:val="16"/>
              </w:rPr>
              <w:t>Custodian mobile devices (company or BYOD)</w:t>
            </w:r>
          </w:p>
        </w:tc>
        <w:tc>
          <w:tcPr>
            <w:tcW w:type="dxa" w:w="2016"/>
          </w:tcPr>
          <w:p>
            <w:r/>
            <w:r>
              <w:rPr>
                <w:sz w:val="16"/>
              </w:rPr>
              <w:t>No MDM on BYOD; about 45 enrolled</w:t>
            </w:r>
          </w:p>
        </w:tc>
        <w:tc>
          <w:tcPr>
            <w:tcW w:type="dxa" w:w="1152"/>
          </w:tcPr>
          <w:p>
            <w:r/>
            <w:r>
              <w:rPr>
                <w:sz w:val="16"/>
              </w:rPr>
              <w:t>High</w:t>
            </w:r>
          </w:p>
        </w:tc>
        <w:tc>
          <w:tcPr>
            <w:tcW w:type="dxa" w:w="864"/>
          </w:tcPr>
          <w:p>
            <w:r/>
            <w:r>
              <w:rPr>
                <w:sz w:val="16"/>
              </w:rPr>
              <w:t>K/S</w:t>
            </w:r>
          </w:p>
        </w:tc>
        <w:tc>
          <w:tcPr>
            <w:tcW w:type="dxa" w:w="3600"/>
          </w:tcPr>
          <w:p>
            <w:r/>
            <w:r>
              <w:rPr>
                <w:sz w:val="16"/>
              </w:rPr>
              <w:t>Hold notice to cover texts/iMessage/WhatsApp. Ridgeway targeted collection for Sokolova, Ellicott, Purdy, Herrera, Collings; confirm which are BYOD. Tell custodians to turn off auto-delete messages settings.</w:t>
            </w:r>
          </w:p>
        </w:tc>
      </w:tr>
      <w:tr>
        <w:tc>
          <w:tcPr>
            <w:tcW w:type="dxa" w:w="1728"/>
          </w:tcPr>
          <w:p>
            <w:r/>
            <w:r>
              <w:rPr>
                <w:sz w:val="16"/>
              </w:rPr>
              <w:t>SAP SuccessFactors (HRIS)</w:t>
            </w:r>
          </w:p>
        </w:tc>
        <w:tc>
          <w:tcPr>
            <w:tcW w:type="dxa" w:w="2016"/>
          </w:tcPr>
          <w:p>
            <w:r/>
            <w:r>
              <w:rPr>
                <w:sz w:val="16"/>
              </w:rPr>
              <w:t>Not in IT memo</w:t>
            </w:r>
          </w:p>
        </w:tc>
        <w:tc>
          <w:tcPr>
            <w:tcW w:type="dxa" w:w="1152"/>
          </w:tcPr>
          <w:p>
            <w:r/>
            <w:r>
              <w:rPr>
                <w:sz w:val="16"/>
              </w:rPr>
              <w:t>Low–Medium</w:t>
            </w:r>
          </w:p>
        </w:tc>
        <w:tc>
          <w:tcPr>
            <w:tcW w:type="dxa" w:w="864"/>
          </w:tcPr>
          <w:p>
            <w:r/>
            <w:r>
              <w:rPr>
                <w:sz w:val="16"/>
              </w:rPr>
              <w:t>K</w:t>
            </w:r>
          </w:p>
        </w:tc>
        <w:tc>
          <w:tcPr>
            <w:tcW w:type="dxa" w:w="3600"/>
          </w:tcPr>
          <w:p>
            <w:r/>
            <w:r>
              <w:rPr>
                <w:sz w:val="16"/>
              </w:rPr>
              <w:t>Add to hold; export Kovach record and audit trail</w:t>
            </w:r>
          </w:p>
        </w:tc>
      </w:tr>
      <w:tr>
        <w:tc>
          <w:tcPr>
            <w:tcW w:type="dxa" w:w="1728"/>
          </w:tcPr>
          <w:p>
            <w:r/>
            <w:r>
              <w:rPr>
                <w:sz w:val="16"/>
              </w:rPr>
              <w:t>HR paper file (6th floor)</w:t>
            </w:r>
          </w:p>
        </w:tc>
        <w:tc>
          <w:tcPr>
            <w:tcW w:type="dxa" w:w="2016"/>
          </w:tcPr>
          <w:p>
            <w:r/>
            <w:r>
              <w:rPr>
                <w:sz w:val="16"/>
              </w:rPr>
              <w:t>Locked cabinet; 15 items inventoried</w:t>
            </w:r>
          </w:p>
        </w:tc>
        <w:tc>
          <w:tcPr>
            <w:tcW w:type="dxa" w:w="1152"/>
          </w:tcPr>
          <w:p>
            <w:r/>
            <w:r>
              <w:rPr>
                <w:sz w:val="16"/>
              </w:rPr>
              <w:t>Low</w:t>
            </w:r>
          </w:p>
        </w:tc>
        <w:tc>
          <w:tcPr>
            <w:tcW w:type="dxa" w:w="864"/>
          </w:tcPr>
          <w:p>
            <w:r/>
            <w:r>
              <w:rPr>
                <w:sz w:val="16"/>
              </w:rPr>
              <w:t>K</w:t>
            </w:r>
          </w:p>
        </w:tc>
        <w:tc>
          <w:tcPr>
            <w:tcW w:type="dxa" w:w="3600"/>
          </w:tcPr>
          <w:p>
            <w:r/>
            <w:r>
              <w:rPr>
                <w:sz w:val="16"/>
              </w:rPr>
              <w:t>Label "DO NOT DESTROY — LEGAL HOLD" (Policy § 5); keep originals in place; Legal takes a certified copy.</w:t>
            </w:r>
          </w:p>
        </w:tc>
      </w:tr>
      <w:tr>
        <w:tc>
          <w:tcPr>
            <w:tcW w:type="dxa" w:w="1728"/>
          </w:tcPr>
          <w:p>
            <w:r/>
            <w:r>
              <w:rPr>
                <w:sz w:val="16"/>
              </w:rPr>
              <w:t>Sales paper files (8th floor)</w:t>
            </w:r>
          </w:p>
        </w:tc>
        <w:tc>
          <w:tcPr>
            <w:tcW w:type="dxa" w:w="2016"/>
          </w:tcPr>
          <w:p>
            <w:r/>
            <w:r>
              <w:rPr>
                <w:sz w:val="16"/>
              </w:rPr>
              <w:t>Contents unconfirmed</w:t>
            </w:r>
          </w:p>
        </w:tc>
        <w:tc>
          <w:tcPr>
            <w:tcW w:type="dxa" w:w="1152"/>
          </w:tcPr>
          <w:p>
            <w:r/>
            <w:r>
              <w:rPr>
                <w:sz w:val="16"/>
              </w:rPr>
              <w:t>Medium</w:t>
            </w:r>
          </w:p>
        </w:tc>
        <w:tc>
          <w:tcPr>
            <w:tcW w:type="dxa" w:w="864"/>
          </w:tcPr>
          <w:p>
            <w:r/>
            <w:r>
              <w:rPr>
                <w:sz w:val="16"/>
              </w:rPr>
              <w:t>S</w:t>
            </w:r>
          </w:p>
        </w:tc>
        <w:tc>
          <w:tcPr>
            <w:tcW w:type="dxa" w:w="3600"/>
          </w:tcPr>
          <w:p>
            <w:r/>
            <w:r>
              <w:rPr>
                <w:sz w:val="16"/>
              </w:rPr>
              <w:t>Walk-through with Ridgeway/IT within one week; secure and scan; signed channel agreements, handwritten notes.</w:t>
            </w:r>
          </w:p>
        </w:tc>
      </w:tr>
      <w:tr>
        <w:tc>
          <w:tcPr>
            <w:tcW w:type="dxa" w:w="1728"/>
          </w:tcPr>
          <w:p>
            <w:r/>
            <w:r>
              <w:rPr>
                <w:sz w:val="16"/>
              </w:rPr>
              <w:t>Voicemail</w:t>
            </w:r>
          </w:p>
        </w:tc>
        <w:tc>
          <w:tcPr>
            <w:tcW w:type="dxa" w:w="2016"/>
          </w:tcPr>
          <w:p>
            <w:r/>
            <w:r>
              <w:rPr>
                <w:sz w:val="16"/>
              </w:rPr>
              <w:t>Not archived; no minimum retention</w:t>
            </w:r>
          </w:p>
        </w:tc>
        <w:tc>
          <w:tcPr>
            <w:tcW w:type="dxa" w:w="1152"/>
          </w:tcPr>
          <w:p>
            <w:r/>
            <w:r>
              <w:rPr>
                <w:sz w:val="16"/>
              </w:rPr>
              <w:t>Low–Medium</w:t>
            </w:r>
          </w:p>
        </w:tc>
        <w:tc>
          <w:tcPr>
            <w:tcW w:type="dxa" w:w="864"/>
          </w:tcPr>
          <w:p>
            <w:r/>
            <w:r>
              <w:rPr>
                <w:sz w:val="16"/>
              </w:rPr>
              <w:t>K/S</w:t>
            </w:r>
          </w:p>
        </w:tc>
        <w:tc>
          <w:tcPr>
            <w:tcW w:type="dxa" w:w="3600"/>
          </w:tcPr>
          <w:p>
            <w:r/>
            <w:r>
              <w:rPr>
                <w:sz w:val="16"/>
              </w:rPr>
              <w:t>Hold notice to cover voicemail explicitly</w:t>
            </w:r>
          </w:p>
        </w:tc>
      </w:tr>
      <w:tr>
        <w:tc>
          <w:tcPr>
            <w:tcW w:type="dxa" w:w="1728"/>
          </w:tcPr>
          <w:p>
            <w:r/>
            <w:r>
              <w:rPr>
                <w:sz w:val="16"/>
              </w:rPr>
              <w:t>Monterrey (NXF-MTY-FS01; separate Salesforce org)</w:t>
            </w:r>
          </w:p>
        </w:tc>
        <w:tc>
          <w:tcPr>
            <w:tcW w:type="dxa" w:w="2016"/>
          </w:tcPr>
          <w:p>
            <w:r/>
            <w:r>
              <w:rPr>
                <w:sz w:val="16"/>
              </w:rPr>
              <w:t>Local config</w:t>
            </w:r>
          </w:p>
        </w:tc>
        <w:tc>
          <w:tcPr>
            <w:tcW w:type="dxa" w:w="1152"/>
          </w:tcPr>
          <w:p>
            <w:r/>
            <w:r>
              <w:rPr>
                <w:sz w:val="16"/>
              </w:rPr>
              <w:t>Low pending scope</w:t>
            </w:r>
          </w:p>
        </w:tc>
        <w:tc>
          <w:tcPr>
            <w:tcW w:type="dxa" w:w="864"/>
          </w:tcPr>
          <w:p>
            <w:r/>
            <w:r>
              <w:rPr>
                <w:sz w:val="16"/>
              </w:rPr>
              <w:t>S (conditional)</w:t>
            </w:r>
          </w:p>
        </w:tc>
        <w:tc>
          <w:tcPr>
            <w:tcW w:type="dxa" w:w="3600"/>
          </w:tcPr>
          <w:p>
            <w:r/>
            <w:r>
              <w:rPr>
                <w:sz w:val="16"/>
              </w:rPr>
              <w:t>Suspend any Monterrey Salesforce auto-deletion as a precaution; decide scope after resolving the territory discrepancy (§ IX).</w:t>
            </w:r>
          </w:p>
        </w:tc>
      </w:tr>
      <w:tr>
        <w:tc>
          <w:tcPr>
            <w:tcW w:type="dxa" w:w="1728"/>
          </w:tcPr>
          <w:p>
            <w:r/>
            <w:r>
              <w:rPr>
                <w:sz w:val="16"/>
              </w:rPr>
              <w:t>Pinnacle Hartwell investigation file</w:t>
            </w:r>
          </w:p>
        </w:tc>
        <w:tc>
          <w:tcPr>
            <w:tcW w:type="dxa" w:w="2016"/>
          </w:tcPr>
          <w:p>
            <w:r/>
            <w:r>
              <w:rPr>
                <w:sz w:val="16"/>
              </w:rPr>
              <w:t>Held by outside counsel</w:t>
            </w:r>
          </w:p>
        </w:tc>
        <w:tc>
          <w:tcPr>
            <w:tcW w:type="dxa" w:w="1152"/>
          </w:tcPr>
          <w:p>
            <w:r/>
            <w:r>
              <w:rPr>
                <w:sz w:val="16"/>
              </w:rPr>
              <w:t>Low</w:t>
            </w:r>
          </w:p>
        </w:tc>
        <w:tc>
          <w:tcPr>
            <w:tcW w:type="dxa" w:w="864"/>
          </w:tcPr>
          <w:p>
            <w:r/>
            <w:r>
              <w:rPr>
                <w:sz w:val="16"/>
              </w:rPr>
              <w:t>K/S</w:t>
            </w:r>
          </w:p>
        </w:tc>
        <w:tc>
          <w:tcPr>
            <w:tcW w:type="dxa" w:w="3600"/>
          </w:tcPr>
          <w:p>
            <w:r/>
            <w:r>
              <w:rPr>
                <w:sz w:val="16"/>
              </w:rPr>
              <w:t>Written preservation request; keep separate from defense file</w:t>
            </w:r>
          </w:p>
        </w:tc>
      </w:tr>
    </w:tbl>
    <w:p>
      <w:pPr>
        <w:spacing w:after="40"/>
      </w:pPr>
    </w:p>
    <w:p>
      <w:pPr>
        <w:pStyle w:val="Heading2"/>
      </w:pPr>
      <w:r>
        <w:t>B. Has Data Already Been Lost During the Gap? (Your November 5 Request)</w:t>
      </w:r>
    </w:p>
    <w:p>
      <w:pPr>
        <w:spacing w:after="120"/>
      </w:pPr>
      <w:r>
        <w:rPr>
          <w:i w:val="0"/>
        </w:rPr>
        <w:t>Short answer: yes, almost certainly for Teams chats. Probably for some Salesforce records and backups. Possibly for user-deleted email and some Kovach-specific sources. Details follow, ordered from most to least severe.</w:t>
      </w:r>
    </w:p>
    <w:p>
      <w:pPr>
        <w:spacing w:after="120"/>
      </w:pPr>
      <w:r>
        <w:rPr>
          <w:b/>
        </w:rPr>
        <w:t xml:space="preserve">1. Teams 1:1 and group chats — confirmed permanent loss. </w:t>
      </w:r>
      <w:r>
        <w:rPr>
          <w:i w:val="0"/>
        </w:rPr>
      </w:r>
    </w:p>
    <w:p>
      <w:pPr>
        <w:pStyle w:val="ListBullet"/>
        <w:spacing w:after="60"/>
      </w:pPr>
      <w:r>
        <w:rPr>
          <w:i w:val="0"/>
        </w:rPr>
        <w:t>As of today, chats created before about August 10, 2024 are gone. Purged content can't be recovered. Novotny confirms no hold or retention label was ever applied, so nothing was retained in the Substrate layer. Kovach's Teams use during Q1–Q3 2024 was substantial.</w:t>
      </w:r>
    </w:p>
    <w:p>
      <w:pPr>
        <w:pStyle w:val="ListBullet"/>
        <w:spacing w:after="60"/>
      </w:pPr>
      <w:r>
        <w:rPr>
          <w:i w:val="0"/>
        </w:rPr>
        <w:t>Content lost during the gap, by trigger date. With an Aug 5 trigger, the gap swallowed chats from May 7 to Aug 10. With a Sep 12 trigger, from Jun 14 to Aug 10. Either way that includes Kovach's June 14 / June 28 / July 2 complaint period, any Sokolova / Ellicott / Purdy chats in the July 2–15 window, PIP planning, late-June Q2 quarter-end sales and finance chats, and chats around the Aug 5 letter. With an Oct 3 trigger, chats from Jul 5 to Aug 10 were still lost after an express written demand. That includes the tail of the demanded window (July 5–15) and the PIP rollout.</w:t>
      </w:r>
    </w:p>
    <w:p>
      <w:pPr>
        <w:pStyle w:val="ListBullet"/>
        <w:spacing w:after="60"/>
      </w:pPr>
      <w:r>
        <w:rPr>
          <w:i w:val="0"/>
        </w:rPr>
        <w:t>Stadler Raines has already said it will seek "the strongest possible inference" for any loss in the July 2–15 window. Under FRCP 37(e)(1), prejudice-curing measures are available on a showing of prejudice. An adverse inference under 37(e)(2) requires intent to deprive. The facts point to negligence, since the purge was a 2023 cost-saving configuration. Even so, the 36-day delay after the demand letter and the August 29 Teams disclosure will be used to argue recklessness. In SEC proceedings the concern is credibility and cooperation credit rather than Rule 37.</w:t>
      </w:r>
    </w:p>
    <w:p>
      <w:pPr>
        <w:pStyle w:val="ListBullet"/>
        <w:spacing w:after="60"/>
      </w:pPr>
      <w:r>
        <w:rPr>
          <w:i w:val="0"/>
        </w:rPr>
        <w:t>Partial substitutes: (a) M365 unified audit log metadata (who, whom, when) for purged chats. Export it now, because audit log retention is limited. (b) Chats cached on Kovach's iPhone and on custodians' own phones and desktops (the Teams client cache). (c) Emails or files that reference the chats. (d) Screenshots Kovach may have kept. Ridgeway should assess client-side caches on custodians' company laptops before any device refresh.</w:t>
      </w:r>
    </w:p>
    <w:p>
      <w:pPr>
        <w:spacing w:after="120"/>
      </w:pPr>
      <w:r>
        <w:rPr>
          <w:b/>
        </w:rPr>
        <w:t xml:space="preserve">2. Salesforce inactive records — probable loss, scope unknown. </w:t>
      </w:r>
      <w:r>
        <w:rPr>
          <w:i w:val="0"/>
        </w:rPr>
      </w:r>
    </w:p>
    <w:p>
      <w:pPr>
        <w:pStyle w:val="ListBullet"/>
        <w:spacing w:after="60"/>
      </w:pPr>
      <w:r>
        <w:rPr>
          <w:i w:val="0"/>
        </w:rPr>
        <w:t>The batch deletes records 18 months after they were marked Inactive. Records flagged between about Feb 5 and May 8, 2023 were deleted during the Aug 5 – Nov 8 gap. Records deleted in the last 15 days are still in the recycle bin and must be restored today. Most Q1–Q3 2024 records are not yet at risk; the earliest would reach 18 months around mid-2025. The losses are probably peripheral (FY2023 terminated or lost distributor accounts). They still matter for baseline comparisons and SEC Request 1 (agreements in effect during 2024 with distributors later consolidated). Request batch job logs to list what was deleted.</w:t>
      </w:r>
    </w:p>
    <w:p>
      <w:pPr>
        <w:spacing w:after="120"/>
      </w:pPr>
      <w:r>
        <w:rPr>
          <w:b/>
        </w:rPr>
        <w:t xml:space="preserve">3. On-premises backups — loss of redundancy. </w:t>
      </w:r>
      <w:r>
        <w:rPr>
          <w:i w:val="0"/>
        </w:rPr>
      </w:r>
    </w:p>
    <w:p>
      <w:pPr>
        <w:pStyle w:val="ListBullet"/>
        <w:spacing w:after="60"/>
      </w:pPr>
      <w:r>
        <w:rPr>
          <w:i w:val="0"/>
        </w:rPr>
        <w:t>With a rolling 90-day cycle, backup sets from before about August 10 have been overwritten. This mainly matters as a lost fallback for FS01 and EV content that users may have changed since.</w:t>
      </w:r>
    </w:p>
    <w:p>
      <w:pPr>
        <w:spacing w:after="120"/>
      </w:pPr>
      <w:r>
        <w:rPr>
          <w:b/>
        </w:rPr>
        <w:t xml:space="preserve">4. Email — probably intact, with two caveats. </w:t>
      </w:r>
      <w:r>
        <w:rPr>
          <w:i w:val="0"/>
        </w:rPr>
      </w:r>
    </w:p>
    <w:p>
      <w:pPr>
        <w:pStyle w:val="ListBullet"/>
        <w:spacing w:after="60"/>
      </w:pPr>
      <w:r>
        <w:rPr>
          <w:i w:val="0"/>
        </w:rPr>
        <w:t>The 7-year retention policy should protect most email. However, if a custodian hard-deleted items and the policy does not preserve deleted items, anything purged from Recoverable Items before about October 9 is gone. Dasgupta must confirm how the policy is configured.</w:t>
      </w:r>
    </w:p>
    <w:p>
      <w:pPr>
        <w:pStyle w:val="ListBullet"/>
        <w:spacing w:after="60"/>
      </w:pPr>
      <w:r>
        <w:rPr>
          <w:i w:val="0"/>
        </w:rPr>
        <w:t>Kovach's incoming mail was forwarded to Herrera from Sep 12 to Oct 12. Any forwarded messages Herrera deleted are subject to the same caveat. Ridgeway should reconcile Kovach's mailbox against Herrera's.</w:t>
      </w:r>
    </w:p>
    <w:p>
      <w:pPr>
        <w:pStyle w:val="ListBullet"/>
        <w:spacing w:after="60"/>
      </w:pPr>
      <w:r>
        <w:rPr>
          <w:i w:val="0"/>
        </w:rPr>
        <w:t>Pre-April 2024 email: the 421-mailbox ingestion gap predates every trigger and is not spoliation, but it may affect Q1 2024 (SEC period) and FY2023 baseline email. Until the remediation log is cross-checked we do not know if Kovach, Sokolova, Chen, or other custodians are affected. This is the day-one task for Halverson.</w:t>
      </w:r>
    </w:p>
    <w:p>
      <w:pPr>
        <w:spacing w:after="120"/>
      </w:pPr>
      <w:r>
        <w:rPr>
          <w:b/>
        </w:rPr>
        <w:t xml:space="preserve">5. Kovach-specific sources — unknown, must verify today. </w:t>
      </w:r>
      <w:r>
        <w:rPr>
          <w:i w:val="0"/>
        </w:rPr>
      </w:r>
    </w:p>
    <w:p>
      <w:pPr>
        <w:pStyle w:val="ListBullet"/>
        <w:spacing w:after="60"/>
      </w:pPr>
      <w:r>
        <w:rPr>
          <w:i w:val="0"/>
        </w:rPr>
        <w:t>Returned Dell laptop: standard offboarding may have reimaged or reissued it. OneDrive: may have been removed under the default departed-user process. iPhone: no preservation notice at termination, and Kovach has had eight weeks to delete, reset, or replace the device. Losses on his side would affect his own case more than ours, but they also affect our ability to recover chats we purged.</w:t>
      </w:r>
    </w:p>
    <w:p>
      <w:pPr>
        <w:spacing w:after="120"/>
      </w:pPr>
      <w:r>
        <w:rPr>
          <w:b/>
        </w:rPr>
        <w:t xml:space="preserve">6. NXF-FS01 — no loss yet, as far as we know. </w:t>
      </w:r>
      <w:r>
        <w:rPr>
          <w:i w:val="0"/>
        </w:rPr>
      </w:r>
    </w:p>
    <w:p>
      <w:pPr>
        <w:pStyle w:val="ListBullet"/>
        <w:spacing w:after="60"/>
      </w:pPr>
      <w:r>
        <w:rPr>
          <w:i w:val="0"/>
        </w:rPr>
        <w:t>Stale files are not deleted until decommissioning. However, migration to SharePoint may not preserve original created/modified metadata. Ridgeway should image the server before the migration goes further. Also confirm whether IT gave Legal the 60-day advance decommissioning notice Policy § 3.6 requires (the deadline would be Dec 2, 2024). Our own record should show Legal controlled this process.</w:t>
      </w:r>
    </w:p>
    <w:p>
      <w:pPr>
        <w:pStyle w:val="Heading2"/>
      </w:pPr>
      <w:r>
        <w:t>C. Policy-Compliance Exposure</w:t>
      </w:r>
    </w:p>
    <w:p>
      <w:pPr>
        <w:spacing w:after="120"/>
      </w:pPr>
      <w:r>
        <w:rPr>
          <w:i w:val="0"/>
        </w:rPr>
        <w:t>Our own policy will be Exhibit A. Three problems stand out, and we should face them before opposing counsel does:</w:t>
      </w:r>
    </w:p>
    <w:p>
      <w:pPr>
        <w:pStyle w:val="ListBullet"/>
        <w:spacing w:after="60"/>
      </w:pPr>
      <w:r>
        <w:rPr>
          <w:i w:val="0"/>
        </w:rPr>
        <w:t>Policy § 4.1 says Legal "shall err on the side of early issuance" and lists whistleblower complaints and internal investigations as triggers. Both were present by August 20.</w:t>
      </w:r>
    </w:p>
    <w:p>
      <w:pPr>
        <w:pStyle w:val="ListBullet"/>
        <w:spacing w:after="60"/>
      </w:pPr>
      <w:r>
        <w:rPr>
          <w:i w:val="0"/>
        </w:rPr>
        <w:t>Policy § 3.6 requires cloud retention settings to match the retention schedules. The 90-day Teams chat purge conflicts with 3- to 7-year retention for sales, revenue-recognition, and correspondence records whenever those records are created in chat. Novotny reports the setting was configured "in coordination with the prior General Counsel's office" in February 2023, but the policy shows you as GC approving both the 2021 and February 2023 versions (see § IX). We need to pin down who approved the Teams setting before anyone is deposed.</w:t>
      </w:r>
    </w:p>
    <w:p>
      <w:pPr>
        <w:pStyle w:val="ListBullet"/>
        <w:spacing w:after="60"/>
      </w:pPr>
      <w:r>
        <w:rPr>
          <w:i w:val="0"/>
        </w:rPr>
        <w:t>The 18-month Salesforce deletion is also inconsistent with the 7-year retention of distributor agreements (§ 3.3) wherever contracts are attached to Account records.</w:t>
      </w:r>
    </w:p>
    <w:p>
      <w:pPr>
        <w:pStyle w:val="Heading1"/>
      </w:pPr>
      <w:r>
        <w:t>VI. Special Considerations — Marcus Ainsley and Audit Committee Materials</w:t>
      </w:r>
    </w:p>
    <w:p>
      <w:pPr>
        <w:spacing w:after="120"/>
      </w:pPr>
      <w:r>
        <w:rPr>
          <w:i w:val="0"/>
        </w:rPr>
        <w:t>Ainsley must be a custodian. He received the August 5 letter, directed the investigation, and holds Board and Audit Committee material that SEC Request 6 calls for. The protocol below builds on your November 5 guidance and my November 6 proposal. It also refines them in one respect.</w:t>
      </w:r>
    </w:p>
    <w:p>
      <w:pPr>
        <w:pStyle w:val="ListBullet"/>
        <w:spacing w:after="60"/>
      </w:pPr>
      <w:r>
        <w:rPr>
          <w:b/>
        </w:rPr>
        <w:t xml:space="preserve">Notice and scoping. </w:t>
      </w:r>
      <w:r>
        <w:rPr>
          <w:i w:val="0"/>
        </w:rPr>
        <w:t>A hold notice from the General Counsel's office is appropriate. It should be accompanied by a personal call from you, and it should explain that the hold is standard and implies nothing about him. Please consider informing the full Audit Committee and the Board chair as well. Identify every account and device Ainsley used: his Nexfield address if any, a board portal (Diligent or similar), personal email, another employer's email, and his phone. Directors commonly use non-Nexfield accounts. Those accounts are outside our tenant holds and need his cooperation.</w:t>
      </w:r>
    </w:p>
    <w:p>
      <w:pPr>
        <w:pStyle w:val="ListBullet"/>
        <w:spacing w:after="60"/>
      </w:pPr>
      <w:r>
        <w:rPr>
          <w:b/>
        </w:rPr>
        <w:t xml:space="preserve">Who collects. </w:t>
      </w:r>
      <w:r>
        <w:rPr>
          <w:i w:val="0"/>
        </w:rPr>
        <w:t>Pinnacle Hartwell should direct the Ainsley collection and the privilege review, as you proposed. But Pinnacle Hartwell attorneys should not perform the forensic collection themselves. If they did, they would become chain-of-custody witnesses. A forensic technician should do it (Ridgeway, or a separate vendor walled off from the general collection) under Pinnacle Hartwell's direction. The collected data would go to a segregated workspace accessible only to the Ainsley review team.</w:t>
      </w:r>
    </w:p>
    <w:p>
      <w:pPr>
        <w:pStyle w:val="ListBullet"/>
        <w:spacing w:after="60"/>
      </w:pPr>
      <w:r>
        <w:rPr>
          <w:b/>
        </w:rPr>
        <w:t xml:space="preserve">Two-track review. </w:t>
      </w:r>
      <w:r>
        <w:rPr>
          <w:i w:val="0"/>
        </w:rPr>
        <w:t>Track 1, non-privileged and likely producible: the Aug 5 Kovach letter and PDF, transmittal emails, factual acknowledgments, Board and Audit Committee minutes and materials on revenue or channel practices (SEC Request 6), and communications with management that do not seek legal advice. Track 2, potentially privileged: communications with Pinnacle Hartwell and the GC about the investigation, Audit Committee deliberations about the investigation, and drafts. These are logged document by document.</w:t>
      </w:r>
    </w:p>
    <w:p>
      <w:pPr>
        <w:pStyle w:val="ListBullet"/>
        <w:spacing w:after="60"/>
      </w:pPr>
      <w:r>
        <w:rPr>
          <w:b/>
        </w:rPr>
        <w:t xml:space="preserve">Engagement separation. </w:t>
      </w:r>
      <w:r>
        <w:rPr>
          <w:i w:val="0"/>
        </w:rPr>
        <w:t>Pinnacle Hartwell now holds two engagements: the Audit Committee investigation (Aug 20 – Oct 10) and the company defense (from Oct 18). Its engagement letter says the files must not be commingled without consultation. Ainsley's Track 2 material belongs to the investigation privilege, which the Audit Committee holds. Pinnacle Hartwell should document which engagement it is acting under for the Ainsley collection. The Audit Committee should consider whether it needs separate counsel, especially if the SEC inquiry moves toward a formal investigation or the conduct of Nexfield's management (and the investigation's conclusions) becomes contested.</w:t>
      </w:r>
    </w:p>
    <w:p>
      <w:pPr>
        <w:pStyle w:val="ListBullet"/>
        <w:spacing w:after="60"/>
      </w:pPr>
      <w:r>
        <w:rPr>
          <w:b/>
        </w:rPr>
        <w:t xml:space="preserve">Fiduciary exception and selective waiver. </w:t>
      </w:r>
      <w:r>
        <w:rPr>
          <w:i w:val="0"/>
        </w:rPr>
        <w:t>Under Garner v. Wolfinbarger (5th Cir. 1970), shareholders may be able to overcome board-level privilege for good cause in derivative or fiduciary litigation. Given the 8.2% return rate and a pending SEC inquiry, a derivative or securities suit is plausible. The Track 2 log should be built with that later challenge in mind: precise, and not over-designated. Separately, producing the investigation report or interview memos to the SEC would probably waive privilege as to Kovach and any private plaintiffs, because most circuits reject selective waiver. Any cooperation-credit decision needs that analysis first.</w:t>
      </w:r>
    </w:p>
    <w:p>
      <w:pPr>
        <w:pStyle w:val="Heading1"/>
      </w:pPr>
      <w:r>
        <w:t>VII. Preservation Coordination</w:t>
      </w:r>
    </w:p>
    <w:p>
      <w:pPr>
        <w:pStyle w:val="Heading2"/>
      </w:pPr>
      <w:r>
        <w:t>A. Roles and Responsibilities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736"/>
            <w:shd w:val="clear" w:color="auto" w:fill="1F3A5F"/>
          </w:tcPr>
          <w:p>
            <w:r/>
            <w:r>
              <w:rPr>
                <w:b/>
                <w:color w:val="FFFFFF"/>
                <w:sz w:val="18"/>
              </w:rPr>
              <w:t>Party</w:t>
            </w:r>
          </w:p>
        </w:tc>
        <w:tc>
          <w:tcPr>
            <w:tcW w:type="dxa" w:w="6624"/>
            <w:shd w:val="clear" w:color="auto" w:fill="1F3A5F"/>
          </w:tcPr>
          <w:p>
            <w:r/>
            <w:r>
              <w:rPr>
                <w:b/>
                <w:color w:val="FFFFFF"/>
                <w:sz w:val="18"/>
              </w:rPr>
              <w:t>Responsibility</w:t>
            </w:r>
          </w:p>
        </w:tc>
      </w:tr>
      <w:tr>
        <w:tc>
          <w:tcPr>
            <w:tcW w:type="dxa" w:w="2736"/>
          </w:tcPr>
          <w:p>
            <w:r/>
            <w:r>
              <w:rPr>
                <w:sz w:val="18"/>
              </w:rPr>
              <w:t>Legal (Tran-Nguyen / Brashear)</w:t>
            </w:r>
          </w:p>
        </w:tc>
        <w:tc>
          <w:tcPr>
            <w:tcW w:type="dxa" w:w="6624"/>
          </w:tcPr>
          <w:p>
            <w:r/>
            <w:r>
              <w:rPr>
                <w:sz w:val="18"/>
              </w:rPr>
              <w:t>Owns the hold: issue notices, keep the hold log (§ 4.2(5)), track acknowledgments, send quarterly reminders, direct IT in writing, and give final approval of any decommissioning or release.</w:t>
            </w:r>
          </w:p>
        </w:tc>
      </w:tr>
      <w:tr>
        <w:tc>
          <w:tcPr>
            <w:tcW w:type="dxa" w:w="2736"/>
          </w:tcPr>
          <w:p>
            <w:r/>
            <w:r>
              <w:rPr>
                <w:sz w:val="18"/>
              </w:rPr>
              <w:t>IT (Novotny; Dasgupta for M365; Halverson for servers/EV)</w:t>
            </w:r>
          </w:p>
        </w:tc>
        <w:tc>
          <w:tcPr>
            <w:tcW w:type="dxa" w:w="6624"/>
          </w:tcPr>
          <w:p>
            <w:r/>
            <w:r>
              <w:rPr>
                <w:sz w:val="18"/>
              </w:rPr>
              <w:t>Carry out system holds and suspensions; confirm each in writing (§ 4.2(4)); cross-reference the remediation log; freeze the offboarding workflow for any custodian; send Legal a weekly status note.</w:t>
            </w:r>
          </w:p>
        </w:tc>
      </w:tr>
      <w:tr>
        <w:tc>
          <w:tcPr>
            <w:tcW w:type="dxa" w:w="2736"/>
          </w:tcPr>
          <w:p>
            <w:r/>
            <w:r>
              <w:rPr>
                <w:sz w:val="18"/>
              </w:rPr>
              <w:t>Salesforce admin / SAP Basis</w:t>
            </w:r>
          </w:p>
        </w:tc>
        <w:tc>
          <w:tcPr>
            <w:tcW w:type="dxa" w:w="6624"/>
          </w:tcPr>
          <w:p>
            <w:r/>
            <w:r>
              <w:rPr>
                <w:sz w:val="18"/>
              </w:rPr>
              <w:t>Suspend the batch job; restore the recycle bin; run exports under Ridgeway supervision</w:t>
            </w:r>
          </w:p>
        </w:tc>
      </w:tr>
      <w:tr>
        <w:tc>
          <w:tcPr>
            <w:tcW w:type="dxa" w:w="2736"/>
          </w:tcPr>
          <w:p>
            <w:r/>
            <w:r>
              <w:rPr>
                <w:sz w:val="18"/>
              </w:rPr>
              <w:t>Ridgeway Forensics Group (engaged Nov 1)</w:t>
            </w:r>
          </w:p>
        </w:tc>
        <w:tc>
          <w:tcPr>
            <w:tcW w:type="dxa" w:w="6624"/>
          </w:tcPr>
          <w:p>
            <w:r/>
            <w:r>
              <w:rPr>
                <w:sz w:val="18"/>
              </w:rPr>
              <w:t>Defensible collection and imaging (FS01, EV, laptops, mobile devices, SAP and Salesforce extracts); chain of custody; recovery of Teams audit logs and client caches. Written scope for each task, routed through Pinnacle Hartwell so the work product is protected.</w:t>
            </w:r>
          </w:p>
        </w:tc>
      </w:tr>
      <w:tr>
        <w:tc>
          <w:tcPr>
            <w:tcW w:type="dxa" w:w="2736"/>
          </w:tcPr>
          <w:p>
            <w:r/>
            <w:r>
              <w:rPr>
                <w:sz w:val="18"/>
              </w:rPr>
              <w:t>Pinnacle Hartwell (Drummond)</w:t>
            </w:r>
          </w:p>
        </w:tc>
        <w:tc>
          <w:tcPr>
            <w:tcW w:type="dxa" w:w="6624"/>
          </w:tcPr>
          <w:p>
            <w:r/>
            <w:r>
              <w:rPr>
                <w:sz w:val="18"/>
              </w:rPr>
              <w:t>Preservation demand to Stadler Raines; defense strategy; SEC counsel role (confirm: current engagement is limited to Kovach defense and expressly excludes regulatory matters, so SEC representation needs a separate engagement or other counsel before Nov 27); Ainsley protocol; decision on disclosing the Teams gap.</w:t>
            </w:r>
          </w:p>
        </w:tc>
      </w:tr>
      <w:tr>
        <w:tc>
          <w:tcPr>
            <w:tcW w:type="dxa" w:w="2736"/>
          </w:tcPr>
          <w:p>
            <w:r/>
            <w:r>
              <w:rPr>
                <w:sz w:val="18"/>
              </w:rPr>
              <w:t>Audit Committee</w:t>
            </w:r>
          </w:p>
        </w:tc>
        <w:tc>
          <w:tcPr>
            <w:tcW w:type="dxa" w:w="6624"/>
          </w:tcPr>
          <w:p>
            <w:r/>
            <w:r>
              <w:rPr>
                <w:sz w:val="18"/>
              </w:rPr>
              <w:t>Decide on auditor notification (Caldwell Thornton); Ainsley cooperation; possible separate counsel</w:t>
            </w:r>
          </w:p>
        </w:tc>
      </w:tr>
      <w:tr>
        <w:tc>
          <w:tcPr>
            <w:tcW w:type="dxa" w:w="2736"/>
          </w:tcPr>
          <w:p>
            <w:r/>
            <w:r>
              <w:rPr>
                <w:sz w:val="18"/>
              </w:rPr>
              <w:t>HR (Purdy)</w:t>
            </w:r>
          </w:p>
        </w:tc>
        <w:tc>
          <w:tcPr>
            <w:tcW w:type="dxa" w:w="6624"/>
          </w:tcPr>
          <w:p>
            <w:r/>
            <w:r>
              <w:rPr>
                <w:sz w:val="18"/>
              </w:rPr>
              <w:t>Physically secure the personnel file. Because she is an interested custodian, Legal should take the certified copy directly rather than rely on an HR-prepared summary.</w:t>
            </w:r>
          </w:p>
        </w:tc>
      </w:tr>
    </w:tbl>
    <w:p>
      <w:pPr>
        <w:spacing w:after="40"/>
      </w:pPr>
    </w:p>
    <w:p>
      <w:pPr>
        <w:pStyle w:val="Heading2"/>
      </w:pPr>
      <w:r>
        <w:t>B. Preservation Demand to Stadler Raines (Kovach Personal iPhone)</w:t>
      </w:r>
    </w:p>
    <w:p>
      <w:pPr>
        <w:spacing w:after="120"/>
      </w:pPr>
      <w:r>
        <w:rPr>
          <w:i w:val="0"/>
        </w:rPr>
        <w:t>Sarah Drummond is sending this by end of day today, per my November 6 email. The letter should specifically cover:</w:t>
      </w:r>
    </w:p>
    <w:p>
      <w:pPr>
        <w:pStyle w:val="ListBullet"/>
        <w:spacing w:after="60"/>
      </w:pPr>
      <w:r>
        <w:rPr>
          <w:i w:val="0"/>
        </w:rPr>
        <w:t>The personal Apple iPhone, number (832) 555-0194, and any replacement device. It should ask Kovach not to wipe, reset, trade in, or replace the device, and not to delete the Outlook, Teams, or Salesforce mobile apps or their caches.</w:t>
      </w:r>
    </w:p>
    <w:p>
      <w:pPr>
        <w:pStyle w:val="ListBullet"/>
        <w:spacing w:after="60"/>
      </w:pPr>
      <w:r>
        <w:rPr>
          <w:i w:val="0"/>
        </w:rPr>
        <w:t>Cached Teams chats and Outlook mail, Salesforce mobile data, SMS/iMessage and third-party messaging with Nexfield personnel or distributors, photos and screenshots, and iCloud or computer backups (which may contain the app caches).</w:t>
      </w:r>
    </w:p>
    <w:p>
      <w:pPr>
        <w:pStyle w:val="ListBullet"/>
        <w:spacing w:after="60"/>
      </w:pPr>
      <w:r>
        <w:rPr>
          <w:i w:val="0"/>
        </w:rPr>
        <w:t>Personal email and cloud accounts used for company business, the August 5 letter and drafts, and any Nexfield documents he kept. His confidentiality obligations are perpetual, so return and preservation should be addressed, but the tone should not suggest retaliation.</w:t>
      </w:r>
    </w:p>
    <w:p>
      <w:pPr>
        <w:pStyle w:val="ListBullet"/>
        <w:spacing w:after="60"/>
      </w:pPr>
      <w:r>
        <w:rPr>
          <w:i w:val="0"/>
        </w:rPr>
        <w:t>A proposal for a neutral forensic image at Nexfield's expense, under a protocol that limits review to work-related data. His BYOD acknowledgment (signed Jan 8, 2021) agreed to "cooperate with data preservation and collection requirements," which helps, although he is now a former employee represented by counsel.</w:t>
      </w:r>
    </w:p>
    <w:p>
      <w:pPr>
        <w:pStyle w:val="ListBullet"/>
        <w:spacing w:after="60"/>
      </w:pPr>
      <w:r>
        <w:rPr>
          <w:i w:val="0"/>
        </w:rPr>
        <w:t>Keep in mind that the letter tells Stadler Raines we are looking for Teams data on his phone. They will infer our server-side loss from that. Pinnacle Hartwell should decide how much to say. I recommend asking broadly for "all application data and caches," without explaining why.</w:t>
      </w:r>
    </w:p>
    <w:p>
      <w:pPr>
        <w:pStyle w:val="Heading1"/>
      </w:pPr>
      <w:r>
        <w:t>VIII. Immediate Action Plan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32"/>
            <w:shd w:val="clear" w:color="auto" w:fill="1F3A5F"/>
          </w:tcPr>
          <w:p>
            <w:r/>
            <w:r>
              <w:rPr>
                <w:b/>
                <w:color w:val="FFFFFF"/>
                <w:sz w:val="18"/>
              </w:rPr>
              <w:t>#</w:t>
            </w:r>
          </w:p>
        </w:tc>
        <w:tc>
          <w:tcPr>
            <w:tcW w:type="dxa" w:w="5184"/>
            <w:shd w:val="clear" w:color="auto" w:fill="1F3A5F"/>
          </w:tcPr>
          <w:p>
            <w:r/>
            <w:r>
              <w:rPr>
                <w:b/>
                <w:color w:val="FFFFFF"/>
                <w:sz w:val="18"/>
              </w:rPr>
              <w:t>Action</w:t>
            </w:r>
          </w:p>
        </w:tc>
        <w:tc>
          <w:tcPr>
            <w:tcW w:type="dxa" w:w="2160"/>
            <w:shd w:val="clear" w:color="auto" w:fill="1F3A5F"/>
          </w:tcPr>
          <w:p>
            <w:r/>
            <w:r>
              <w:rPr>
                <w:b/>
                <w:color w:val="FFFFFF"/>
                <w:sz w:val="18"/>
              </w:rPr>
              <w:t>Owner</w:t>
            </w:r>
          </w:p>
        </w:tc>
        <w:tc>
          <w:tcPr>
            <w:tcW w:type="dxa" w:w="1584"/>
            <w:shd w:val="clear" w:color="auto" w:fill="1F3A5F"/>
          </w:tcPr>
          <w:p>
            <w:r/>
            <w:r>
              <w:rPr>
                <w:b/>
                <w:color w:val="FFFFFF"/>
                <w:sz w:val="18"/>
              </w:rPr>
              <w:t>Deadline</w:t>
            </w:r>
          </w:p>
        </w:tc>
      </w:tr>
      <w:tr>
        <w:tc>
          <w:tcPr>
            <w:tcW w:type="dxa" w:w="432"/>
          </w:tcPr>
          <w:p>
            <w:r/>
            <w:r>
              <w:rPr>
                <w:sz w:val="18"/>
              </w:rPr>
              <w:t>1</w:t>
            </w:r>
          </w:p>
        </w:tc>
        <w:tc>
          <w:tcPr>
            <w:tcW w:type="dxa" w:w="5184"/>
          </w:tcPr>
          <w:p>
            <w:r/>
            <w:r>
              <w:rPr>
                <w:sz w:val="18"/>
              </w:rPr>
              <w:t>Suspend the Teams chat and channel retention policies tenant-wide; place eDiscovery case holds on Tier 1–2 accounts (mailbox, OneDrive, Teams)</w:t>
            </w:r>
          </w:p>
        </w:tc>
        <w:tc>
          <w:tcPr>
            <w:tcW w:type="dxa" w:w="2160"/>
          </w:tcPr>
          <w:p>
            <w:r/>
            <w:r>
              <w:rPr>
                <w:sz w:val="18"/>
              </w:rPr>
              <w:t>Dasgupta / Ridgeway, on written direction from Legal</w:t>
            </w:r>
          </w:p>
        </w:tc>
        <w:tc>
          <w:tcPr>
            <w:tcW w:type="dxa" w:w="1584"/>
          </w:tcPr>
          <w:p>
            <w:r/>
            <w:r>
              <w:rPr>
                <w:sz w:val="18"/>
              </w:rPr>
              <w:t>Today, Nov 8</w:t>
            </w:r>
          </w:p>
        </w:tc>
      </w:tr>
      <w:tr>
        <w:tc>
          <w:tcPr>
            <w:tcW w:type="dxa" w:w="432"/>
          </w:tcPr>
          <w:p>
            <w:r/>
            <w:r>
              <w:rPr>
                <w:sz w:val="18"/>
              </w:rPr>
              <w:t>2</w:t>
            </w:r>
          </w:p>
        </w:tc>
        <w:tc>
          <w:tcPr>
            <w:tcW w:type="dxa" w:w="5184"/>
          </w:tcPr>
          <w:p>
            <w:r/>
            <w:r>
              <w:rPr>
                <w:sz w:val="18"/>
              </w:rPr>
              <w:t>Suspend the Salesforce inactive-record batch job; restore the 15-day recycle bin; freeze Inactive flagging; keep job logs</w:t>
            </w:r>
          </w:p>
        </w:tc>
        <w:tc>
          <w:tcPr>
            <w:tcW w:type="dxa" w:w="2160"/>
          </w:tcPr>
          <w:p>
            <w:r/>
            <w:r>
              <w:rPr>
                <w:sz w:val="18"/>
              </w:rPr>
              <w:t>Salesforce admin</w:t>
            </w:r>
          </w:p>
        </w:tc>
        <w:tc>
          <w:tcPr>
            <w:tcW w:type="dxa" w:w="1584"/>
          </w:tcPr>
          <w:p>
            <w:r/>
            <w:r>
              <w:rPr>
                <w:sz w:val="18"/>
              </w:rPr>
              <w:t>Today (before the 2:00 a.m. run)</w:t>
            </w:r>
          </w:p>
        </w:tc>
      </w:tr>
      <w:tr>
        <w:tc>
          <w:tcPr>
            <w:tcW w:type="dxa" w:w="432"/>
          </w:tcPr>
          <w:p>
            <w:r/>
            <w:r>
              <w:rPr>
                <w:sz w:val="18"/>
              </w:rPr>
              <w:t>3</w:t>
            </w:r>
          </w:p>
        </w:tc>
        <w:tc>
          <w:tcPr>
            <w:tcW w:type="dxa" w:w="5184"/>
          </w:tcPr>
          <w:p>
            <w:r/>
            <w:r>
              <w:rPr>
                <w:sz w:val="18"/>
              </w:rPr>
              <w:t>Hold on Kovach's shared mailbox and OneDrive; locate and sequester his returned laptop</w:t>
            </w:r>
          </w:p>
        </w:tc>
        <w:tc>
          <w:tcPr>
            <w:tcW w:type="dxa" w:w="2160"/>
          </w:tcPr>
          <w:p>
            <w:r/>
            <w:r>
              <w:rPr>
                <w:sz w:val="18"/>
              </w:rPr>
              <w:t>IT / Ridgeway</w:t>
            </w:r>
          </w:p>
        </w:tc>
        <w:tc>
          <w:tcPr>
            <w:tcW w:type="dxa" w:w="1584"/>
          </w:tcPr>
          <w:p>
            <w:r/>
            <w:r>
              <w:rPr>
                <w:sz w:val="18"/>
              </w:rPr>
              <w:t>Today</w:t>
            </w:r>
          </w:p>
        </w:tc>
      </w:tr>
      <w:tr>
        <w:tc>
          <w:tcPr>
            <w:tcW w:type="dxa" w:w="432"/>
          </w:tcPr>
          <w:p>
            <w:r/>
            <w:r>
              <w:rPr>
                <w:sz w:val="18"/>
              </w:rPr>
              <w:t>4</w:t>
            </w:r>
          </w:p>
        </w:tc>
        <w:tc>
          <w:tcPr>
            <w:tcW w:type="dxa" w:w="5184"/>
          </w:tcPr>
          <w:p>
            <w:r/>
            <w:r>
              <w:rPr>
                <w:sz w:val="18"/>
              </w:rPr>
              <w:t>Send preservation demand to Stadler Raines (iPhone)</w:t>
            </w:r>
          </w:p>
        </w:tc>
        <w:tc>
          <w:tcPr>
            <w:tcW w:type="dxa" w:w="2160"/>
          </w:tcPr>
          <w:p>
            <w:r/>
            <w:r>
              <w:rPr>
                <w:sz w:val="18"/>
              </w:rPr>
              <w:t>Drummond</w:t>
            </w:r>
          </w:p>
        </w:tc>
        <w:tc>
          <w:tcPr>
            <w:tcW w:type="dxa" w:w="1584"/>
          </w:tcPr>
          <w:p>
            <w:r/>
            <w:r>
              <w:rPr>
                <w:sz w:val="18"/>
              </w:rPr>
              <w:t>Today</w:t>
            </w:r>
          </w:p>
        </w:tc>
      </w:tr>
      <w:tr>
        <w:tc>
          <w:tcPr>
            <w:tcW w:type="dxa" w:w="432"/>
          </w:tcPr>
          <w:p>
            <w:r/>
            <w:r>
              <w:rPr>
                <w:sz w:val="18"/>
              </w:rPr>
              <w:t>5</w:t>
            </w:r>
          </w:p>
        </w:tc>
        <w:tc>
          <w:tcPr>
            <w:tcW w:type="dxa" w:w="5184"/>
          </w:tcPr>
          <w:p>
            <w:r/>
            <w:r>
              <w:rPr>
                <w:sz w:val="18"/>
              </w:rPr>
              <w:t>Issue consolidated hold notice to Tier 1–2 custodians; personal outreach to Ainsley</w:t>
            </w:r>
          </w:p>
        </w:tc>
        <w:tc>
          <w:tcPr>
            <w:tcW w:type="dxa" w:w="2160"/>
          </w:tcPr>
          <w:p>
            <w:r/>
            <w:r>
              <w:rPr>
                <w:sz w:val="18"/>
              </w:rPr>
              <w:t>Brashear / Tran-Nguyen</w:t>
            </w:r>
          </w:p>
        </w:tc>
        <w:tc>
          <w:tcPr>
            <w:tcW w:type="dxa" w:w="1584"/>
          </w:tcPr>
          <w:p>
            <w:r/>
            <w:r>
              <w:rPr>
                <w:sz w:val="18"/>
              </w:rPr>
              <w:t>Today; acknowledgments by Nov 12</w:t>
            </w:r>
          </w:p>
        </w:tc>
      </w:tr>
      <w:tr>
        <w:tc>
          <w:tcPr>
            <w:tcW w:type="dxa" w:w="432"/>
          </w:tcPr>
          <w:p>
            <w:r/>
            <w:r>
              <w:rPr>
                <w:sz w:val="18"/>
              </w:rPr>
              <w:t>6</w:t>
            </w:r>
          </w:p>
        </w:tc>
        <w:tc>
          <w:tcPr>
            <w:tcW w:type="dxa" w:w="5184"/>
          </w:tcPr>
          <w:p>
            <w:r/>
            <w:r>
              <w:rPr>
                <w:sz w:val="18"/>
              </w:rPr>
              <w:t>Suspend 90-day backup rotation; take current backup sets out of rotation</w:t>
            </w:r>
          </w:p>
        </w:tc>
        <w:tc>
          <w:tcPr>
            <w:tcW w:type="dxa" w:w="2160"/>
          </w:tcPr>
          <w:p>
            <w:r/>
            <w:r>
              <w:rPr>
                <w:sz w:val="18"/>
              </w:rPr>
              <w:t>Halverson</w:t>
            </w:r>
          </w:p>
        </w:tc>
        <w:tc>
          <w:tcPr>
            <w:tcW w:type="dxa" w:w="1584"/>
          </w:tcPr>
          <w:p>
            <w:r/>
            <w:r>
              <w:rPr>
                <w:sz w:val="18"/>
              </w:rPr>
              <w:t>Nov 11</w:t>
            </w:r>
          </w:p>
        </w:tc>
      </w:tr>
      <w:tr>
        <w:tc>
          <w:tcPr>
            <w:tcW w:type="dxa" w:w="432"/>
          </w:tcPr>
          <w:p>
            <w:r/>
            <w:r>
              <w:rPr>
                <w:sz w:val="18"/>
              </w:rPr>
              <w:t>7</w:t>
            </w:r>
          </w:p>
        </w:tc>
        <w:tc>
          <w:tcPr>
            <w:tcW w:type="dxa" w:w="5184"/>
          </w:tcPr>
          <w:p>
            <w:r/>
            <w:r>
              <w:rPr>
                <w:sz w:val="18"/>
              </w:rPr>
              <w:t>Cross-reference the EV remediation log against the custodian list; hold EV; image before any remediation</w:t>
            </w:r>
          </w:p>
        </w:tc>
        <w:tc>
          <w:tcPr>
            <w:tcW w:type="dxa" w:w="2160"/>
          </w:tcPr>
          <w:p>
            <w:r/>
            <w:r>
              <w:rPr>
                <w:sz w:val="18"/>
              </w:rPr>
              <w:t>Halverson / Ridgeway</w:t>
            </w:r>
          </w:p>
        </w:tc>
        <w:tc>
          <w:tcPr>
            <w:tcW w:type="dxa" w:w="1584"/>
          </w:tcPr>
          <w:p>
            <w:r/>
            <w:r>
              <w:rPr>
                <w:sz w:val="18"/>
              </w:rPr>
              <w:t>Nov 12</w:t>
            </w:r>
          </w:p>
        </w:tc>
      </w:tr>
      <w:tr>
        <w:tc>
          <w:tcPr>
            <w:tcW w:type="dxa" w:w="432"/>
          </w:tcPr>
          <w:p>
            <w:r/>
            <w:r>
              <w:rPr>
                <w:sz w:val="18"/>
              </w:rPr>
              <w:t>8</w:t>
            </w:r>
          </w:p>
        </w:tc>
        <w:tc>
          <w:tcPr>
            <w:tcW w:type="dxa" w:w="5184"/>
          </w:tcPr>
          <w:p>
            <w:r/>
            <w:r>
              <w:rPr>
                <w:sz w:val="18"/>
              </w:rPr>
              <w:t>Written direction: no NXF-FS01 destruction without Legal release; schedule Ridgeway image</w:t>
            </w:r>
          </w:p>
        </w:tc>
        <w:tc>
          <w:tcPr>
            <w:tcW w:type="dxa" w:w="2160"/>
          </w:tcPr>
          <w:p>
            <w:r/>
            <w:r>
              <w:rPr>
                <w:sz w:val="18"/>
              </w:rPr>
              <w:t>Legal / Halverson / Ridgeway</w:t>
            </w:r>
          </w:p>
        </w:tc>
        <w:tc>
          <w:tcPr>
            <w:tcW w:type="dxa" w:w="1584"/>
          </w:tcPr>
          <w:p>
            <w:r/>
            <w:r>
              <w:rPr>
                <w:sz w:val="18"/>
              </w:rPr>
              <w:t>Direction Nov 8; image by Nov 22</w:t>
            </w:r>
          </w:p>
        </w:tc>
      </w:tr>
      <w:tr>
        <w:tc>
          <w:tcPr>
            <w:tcW w:type="dxa" w:w="432"/>
          </w:tcPr>
          <w:p>
            <w:r/>
            <w:r>
              <w:rPr>
                <w:sz w:val="18"/>
              </w:rPr>
              <w:t>9</w:t>
            </w:r>
          </w:p>
        </w:tc>
        <w:tc>
          <w:tcPr>
            <w:tcW w:type="dxa" w:w="5184"/>
          </w:tcPr>
          <w:p>
            <w:r/>
            <w:r>
              <w:rPr>
                <w:sz w:val="18"/>
              </w:rPr>
              <w:t>Export M365 unified audit log (Teams metadata) for all custodians, Jan 1, 2024 onward</w:t>
            </w:r>
          </w:p>
        </w:tc>
        <w:tc>
          <w:tcPr>
            <w:tcW w:type="dxa" w:w="2160"/>
          </w:tcPr>
          <w:p>
            <w:r/>
            <w:r>
              <w:rPr>
                <w:sz w:val="18"/>
              </w:rPr>
              <w:t>Ridgeway</w:t>
            </w:r>
          </w:p>
        </w:tc>
        <w:tc>
          <w:tcPr>
            <w:tcW w:type="dxa" w:w="1584"/>
          </w:tcPr>
          <w:p>
            <w:r/>
            <w:r>
              <w:rPr>
                <w:sz w:val="18"/>
              </w:rPr>
              <w:t>Nov 12</w:t>
            </w:r>
          </w:p>
        </w:tc>
      </w:tr>
      <w:tr>
        <w:tc>
          <w:tcPr>
            <w:tcW w:type="dxa" w:w="432"/>
          </w:tcPr>
          <w:p>
            <w:r/>
            <w:r>
              <w:rPr>
                <w:sz w:val="18"/>
              </w:rPr>
              <w:t>10</w:t>
            </w:r>
          </w:p>
        </w:tc>
        <w:tc>
          <w:tcPr>
            <w:tcW w:type="dxa" w:w="5184"/>
          </w:tcPr>
          <w:p>
            <w:r/>
            <w:r>
              <w:rPr>
                <w:sz w:val="18"/>
              </w:rPr>
              <w:t>Mobile device inventory and targeted collection (Sokolova, Ellicott, Purdy, Herrera, Collings, Jessup)</w:t>
            </w:r>
          </w:p>
        </w:tc>
        <w:tc>
          <w:tcPr>
            <w:tcW w:type="dxa" w:w="2160"/>
          </w:tcPr>
          <w:p>
            <w:r/>
            <w:r>
              <w:rPr>
                <w:sz w:val="18"/>
              </w:rPr>
              <w:t>Ridgeway</w:t>
            </w:r>
          </w:p>
        </w:tc>
        <w:tc>
          <w:tcPr>
            <w:tcW w:type="dxa" w:w="1584"/>
          </w:tcPr>
          <w:p>
            <w:r/>
            <w:r>
              <w:rPr>
                <w:sz w:val="18"/>
              </w:rPr>
              <w:t>Nov 22</w:t>
            </w:r>
          </w:p>
        </w:tc>
      </w:tr>
      <w:tr>
        <w:tc>
          <w:tcPr>
            <w:tcW w:type="dxa" w:w="432"/>
          </w:tcPr>
          <w:p>
            <w:r/>
            <w:r>
              <w:rPr>
                <w:sz w:val="18"/>
              </w:rPr>
              <w:t>11</w:t>
            </w:r>
          </w:p>
        </w:tc>
        <w:tc>
          <w:tcPr>
            <w:tcW w:type="dxa" w:w="5184"/>
          </w:tcPr>
          <w:p>
            <w:r/>
            <w:r>
              <w:rPr>
                <w:sz w:val="18"/>
              </w:rPr>
              <w:t>Tier 3 notices; paper records walk-through (8th floor); add SuccessFactors; Monterrey scope decision</w:t>
            </w:r>
          </w:p>
        </w:tc>
        <w:tc>
          <w:tcPr>
            <w:tcW w:type="dxa" w:w="2160"/>
          </w:tcPr>
          <w:p>
            <w:r/>
            <w:r>
              <w:rPr>
                <w:sz w:val="18"/>
              </w:rPr>
              <w:t>Brashear / IT</w:t>
            </w:r>
          </w:p>
        </w:tc>
        <w:tc>
          <w:tcPr>
            <w:tcW w:type="dxa" w:w="1584"/>
          </w:tcPr>
          <w:p>
            <w:r/>
            <w:r>
              <w:rPr>
                <w:sz w:val="18"/>
              </w:rPr>
              <w:t>Nov 15</w:t>
            </w:r>
          </w:p>
        </w:tc>
      </w:tr>
      <w:tr>
        <w:tc>
          <w:tcPr>
            <w:tcW w:type="dxa" w:w="432"/>
          </w:tcPr>
          <w:p>
            <w:r/>
            <w:r>
              <w:rPr>
                <w:sz w:val="18"/>
              </w:rPr>
              <w:t>12</w:t>
            </w:r>
          </w:p>
        </w:tc>
        <w:tc>
          <w:tcPr>
            <w:tcW w:type="dxa" w:w="5184"/>
          </w:tcPr>
          <w:p>
            <w:r/>
            <w:r>
              <w:rPr>
                <w:sz w:val="18"/>
              </w:rPr>
              <w:t>Pinnacle Hartwell briefing on the Teams gap and a disclosure strategy for SEC (production due Nov 27) and Stadler Raines; confirm SEC counsel engagement and the overdue Nov 2 demand response</w:t>
            </w:r>
          </w:p>
        </w:tc>
        <w:tc>
          <w:tcPr>
            <w:tcW w:type="dxa" w:w="2160"/>
          </w:tcPr>
          <w:p>
            <w:r/>
            <w:r>
              <w:rPr>
                <w:sz w:val="18"/>
              </w:rPr>
              <w:t>Tran-Nguyen / Drummond</w:t>
            </w:r>
          </w:p>
        </w:tc>
        <w:tc>
          <w:tcPr>
            <w:tcW w:type="dxa" w:w="1584"/>
          </w:tcPr>
          <w:p>
            <w:r/>
            <w:r>
              <w:rPr>
                <w:sz w:val="18"/>
              </w:rPr>
              <w:t>Nov 11</w:t>
            </w:r>
          </w:p>
        </w:tc>
      </w:tr>
    </w:tbl>
    <w:p>
      <w:pPr>
        <w:spacing w:after="40"/>
      </w:pPr>
    </w:p>
    <w:p>
      <w:pPr>
        <w:pStyle w:val="Heading1"/>
      </w:pPr>
      <w:r>
        <w:t>IX. Record Discrepancies to Resolve</w:t>
      </w:r>
    </w:p>
    <w:p>
      <w:pPr>
        <w:spacing w:after="120"/>
      </w:pPr>
      <w:r>
        <w:rPr>
          <w:i w:val="0"/>
        </w:rPr>
        <w:t>I noticed these inconsistencies across the source documents. Each could come up in depositions or in our SEC submissions, so we should settle them before anyone relies on them:</w:t>
      </w:r>
    </w:p>
    <w:p>
      <w:pPr>
        <w:pStyle w:val="ListBullet"/>
        <w:spacing w:after="60"/>
      </w:pPr>
      <w:r>
        <w:rPr>
          <w:b/>
        </w:rPr>
        <w:t xml:space="preserve">BYOD enrollment date. </w:t>
      </w:r>
      <w:r>
        <w:rPr>
          <w:i w:val="0"/>
        </w:rPr>
        <w:t>Novotny says Kovach enrolled on April 3, 2020. HR says about January 2021, with the acknowledgment signed January 8, 2021. The BYOD policy covers VP level and above, and Kovach did not become VP until January 1, 2021. Which date is right affects when mobile data could exist and how strong our position is under the BYOD acknowledgment.</w:t>
      </w:r>
    </w:p>
    <w:p>
      <w:pPr>
        <w:pStyle w:val="ListBullet"/>
        <w:spacing w:after="60"/>
      </w:pPr>
      <w:r>
        <w:rPr>
          <w:b/>
        </w:rPr>
        <w:t xml:space="preserve">Kovach's territory scope. </w:t>
      </w:r>
      <w:r>
        <w:rPr>
          <w:i w:val="0"/>
        </w:rPr>
        <w:t>The demand letter describes his territories as the U.S., Canada, Mexico, and Central and South America. HR describes six territories "within the United States." Novotny believes the channel partners are U.S. only. This decides whether the Monterrey systems are in scope. Until it is resolved, preserve rather than exclude.</w:t>
      </w:r>
    </w:p>
    <w:p>
      <w:pPr>
        <w:pStyle w:val="ListBullet"/>
        <w:spacing w:after="60"/>
      </w:pPr>
      <w:r>
        <w:rPr>
          <w:b/>
        </w:rPr>
        <w:t xml:space="preserve">Who approved the Teams setting. </w:t>
      </w:r>
      <w:r>
        <w:rPr>
          <w:i w:val="0"/>
        </w:rPr>
        <w:t>Novotny attributes the February 2023 Teams 90-day setting to the "prior General Counsel's office." The retention policy shows you as General Counsel approving both the March 2021 and February 15, 2023 versions. Your email signature also reads "Deputy General Counsel" while external letters address you as GC. We need a clear record of who approved the Teams configuration.</w:t>
      </w:r>
    </w:p>
    <w:p>
      <w:pPr>
        <w:pStyle w:val="ListBullet"/>
        <w:spacing w:after="60"/>
      </w:pPr>
      <w:r>
        <w:rPr>
          <w:b/>
        </w:rPr>
        <w:t xml:space="preserve">Kovach's title at hire. </w:t>
      </w:r>
      <w:r>
        <w:rPr>
          <w:i w:val="0"/>
        </w:rPr>
        <w:t>The demand letter says Regional Sales Director. HR and the investigation say Regional Sales Manager, with the investigation adding the Gulf Coast. This is minor but should be corrected in our pleadings.</w:t>
      </w:r>
    </w:p>
    <w:p>
      <w:pPr>
        <w:pStyle w:val="ListBullet"/>
        <w:spacing w:after="60"/>
      </w:pPr>
      <w:r>
        <w:rPr>
          <w:b/>
        </w:rPr>
        <w:t xml:space="preserve">NXF-FS01 rationale. </w:t>
      </w:r>
      <w:r>
        <w:rPr>
          <w:i w:val="0"/>
        </w:rPr>
        <w:t>Novotny says hardware support drives the Jan 31, 2025 date, but his memo also refers to Windows Server 2016 extended support "ended ... January 2027," which is a future date. Confirm the real constraint before arguing to anyone that delaying decommissioning is impractical.</w:t>
      </w:r>
    </w:p>
    <w:p>
      <w:pPr>
        <w:pStyle w:val="ListBullet"/>
        <w:spacing w:after="60"/>
      </w:pPr>
      <w:r>
        <w:rPr>
          <w:b/>
        </w:rPr>
        <w:t xml:space="preserve">Laptop and HRIS missing from the IT inventory. </w:t>
      </w:r>
      <w:r>
        <w:rPr>
          <w:i w:val="0"/>
        </w:rPr>
        <w:t>Neither the IT inventory nor the offboarding record addresses the returned laptop or SuccessFactors. Both should be added to the inventory.</w:t>
      </w:r>
    </w:p>
    <w:p>
      <w:pPr>
        <w:pStyle w:val="Heading1"/>
      </w:pPr>
      <w:r>
        <w:t>X. Other Deadlines to Track</w:t>
      </w:r>
    </w:p>
    <w:p>
      <w:pPr>
        <w:pStyle w:val="ListBullet"/>
        <w:spacing w:after="60"/>
      </w:pPr>
      <w:r>
        <w:rPr>
          <w:i w:val="0"/>
        </w:rPr>
        <w:t>Stadler Raines demand response: Nov 2, 2024 (passed). Confirm status with Pinnacle Hartwell.</w:t>
      </w:r>
    </w:p>
    <w:p>
      <w:pPr>
        <w:pStyle w:val="ListBullet"/>
        <w:spacing w:after="60"/>
      </w:pPr>
      <w:r>
        <w:rPr>
          <w:i w:val="0"/>
        </w:rPr>
        <w:t>SEC voluntary production: Nov 27, 2024. Contact Staff Attorney David P. Callero beforehand about scope and timing.</w:t>
      </w:r>
    </w:p>
    <w:p>
      <w:pPr>
        <w:pStyle w:val="ListBullet"/>
        <w:spacing w:after="60"/>
      </w:pPr>
      <w:r>
        <w:rPr>
          <w:i w:val="0"/>
        </w:rPr>
        <w:t>Policy § 3.6 decommissioning notice / Legal release for NXF-FS01: by Dec 2, 2024 (60 days before Jan 31, 2025).</w:t>
      </w:r>
    </w:p>
    <w:p>
      <w:pPr>
        <w:pStyle w:val="ListBullet"/>
        <w:spacing w:after="60"/>
      </w:pPr>
      <w:r>
        <w:rPr>
          <w:i w:val="0"/>
        </w:rPr>
        <w:t>Q3 quarter-end Teams chats begin purging: about Dec 16, 2024, if the suspension has not been carried out.</w:t>
      </w:r>
    </w:p>
    <w:p>
      <w:pPr>
        <w:pStyle w:val="ListBullet"/>
        <w:spacing w:after="60"/>
      </w:pPr>
      <w:r>
        <w:rPr>
          <w:i w:val="0"/>
        </w:rPr>
        <w:t>Teams channel posts from Q1 2024 begin purging: Jan 1, 2025. EV remediation project: Q1 2025, which must not start before imaging.</w:t>
      </w:r>
    </w:p>
    <w:p>
      <w:pPr>
        <w:pStyle w:val="ListBullet"/>
        <w:spacing w:after="60"/>
      </w:pPr>
      <w:r>
        <w:rPr>
          <w:i w:val="0"/>
        </w:rPr>
        <w:t>Kovach's OSHA SOX § 806 filing window: 180 days from Sep 12, 2024, i.e., about Mar 11, 2025.</w:t>
      </w:r>
    </w:p>
    <w:p>
      <w:pPr>
        <w:spacing w:after="120"/>
      </w:pPr>
      <w:r>
        <w:rPr>
          <w:i w:val="0"/>
        </w:rPr>
        <w:t>I'm available all weekend if you want to go through any of this before Monday. Once you approve, I will finalize the hold notice text and the IT direction letters (items 1–3 and 6–8) for signature.</w:t>
      </w:r>
    </w:p>
    <w:p>
      <w:pPr>
        <w:spacing w:after="120"/>
      </w:pPr>
      <w:r>
        <w:rPr>
          <w:i w:val="0"/>
        </w:rPr>
        <w:t>— Kevin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Nexfield Legal — Kovach / SEC Consolidated Hold Memo — Page </w:t>
    </w:r>
    <w:r>
      <w:rPr>
        <w:sz w:val="16"/>
      </w:rPr>
      <w:fldChar w:fldCharType="begin"/>
    </w:r>
    <w:r>
      <w:rPr>
        <w:sz w:val="16"/>
      </w:rPr>
      <w:instrText xml:space="preserve">PAGE</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&amp; CONFIDENTIAL — ATTORNEY-CLIENT COMMUNICATION / ATTORNEY WORK PRODUCT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