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w:hAnsi="Aptos"/>
          <w:b/>
          <w:color w:val="990000"/>
          <w:sz w:val="18"/>
        </w:rPr>
        <w:t>PRIVILEGED &amp; CONFIDENTIAL</w:t>
      </w:r>
    </w:p>
    <w:p>
      <w:pPr>
        <w:pStyle w:val="Title"/>
        <w:spacing w:after="40"/>
        <w:jc w:val="center"/>
      </w:pPr>
      <w:r>
        <w:t>PRE-MEDIATION SETTLEMENT</w:t>
        <w:br/>
        <w:t>VALUATION MEMORANDUM</w:t>
      </w:r>
    </w:p>
    <w:p>
      <w:pPr>
        <w:pStyle w:val="Subtitle"/>
        <w:spacing w:after="200"/>
        <w:jc w:val="center"/>
      </w:pPr>
      <w:r>
        <w:t>Holt v. Greenfield Manufacturing, Inc.  |  Case No. 2:23-cv-04187</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TO</w:t>
            </w:r>
          </w:p>
        </w:tc>
        <w:tc>
          <w:tcPr>
            <w:tcW w:type="dxa" w:w="3384"/>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FROM</w:t>
            </w:r>
          </w:p>
        </w:tc>
        <w:tc>
          <w:tcPr>
            <w:tcW w:type="dxa" w:w="1944"/>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DATE</w:t>
            </w:r>
          </w:p>
        </w:tc>
        <w:tc>
          <w:tcPr>
            <w:tcW w:type="dxa" w:w="2232"/>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MEDIATION</w:t>
            </w:r>
          </w:p>
        </w:tc>
      </w:tr>
      <w:tr>
        <w:tc>
          <w:tcPr>
            <w:tcW w:type="dxa" w:w="2232"/>
            <w:vAlign w:val="center"/>
            <w:tcMar>
              <w:top w:w="90" w:type="dxa"/>
              <w:start w:w="100" w:type="dxa"/>
              <w:bottom w:w="90" w:type="dxa"/>
              <w:end w:w="100" w:type="dxa"/>
            </w:tcMar>
          </w:tcPr>
          <w:p>
            <w:pPr>
              <w:spacing w:after="0" w:before="0" w:line="240" w:lineRule="auto"/>
            </w:pPr>
            <w:r/>
            <w:r>
              <w:rPr>
                <w:rFonts w:ascii="Aptos" w:hAnsi="Aptos"/>
                <w:b w:val="0"/>
                <w:sz w:val="17"/>
              </w:rPr>
              <w:t>Board Litigation Committee</w:t>
            </w:r>
          </w:p>
        </w:tc>
        <w:tc>
          <w:tcPr>
            <w:tcW w:type="dxa" w:w="3384"/>
            <w:vAlign w:val="center"/>
            <w:tcMar>
              <w:top w:w="90" w:type="dxa"/>
              <w:start w:w="100" w:type="dxa"/>
              <w:bottom w:w="90" w:type="dxa"/>
              <w:end w:w="100" w:type="dxa"/>
            </w:tcMar>
          </w:tcPr>
          <w:p>
            <w:pPr>
              <w:spacing w:after="0" w:before="0" w:line="240" w:lineRule="auto"/>
            </w:pPr>
            <w:r/>
            <w:r>
              <w:rPr>
                <w:rFonts w:ascii="Aptos" w:hAnsi="Aptos"/>
                <w:b w:val="0"/>
                <w:sz w:val="17"/>
              </w:rPr>
              <w:t>Raymond K. Delaney, Outside Defense Counsel</w:t>
            </w:r>
          </w:p>
        </w:tc>
        <w:tc>
          <w:tcPr>
            <w:tcW w:type="dxa" w:w="1944"/>
            <w:vAlign w:val="center"/>
            <w:tcMar>
              <w:top w:w="90" w:type="dxa"/>
              <w:start w:w="100" w:type="dxa"/>
              <w:bottom w:w="90" w:type="dxa"/>
              <w:end w:w="100" w:type="dxa"/>
            </w:tcMar>
          </w:tcPr>
          <w:p>
            <w:pPr>
              <w:spacing w:after="0" w:before="0" w:line="240" w:lineRule="auto"/>
            </w:pPr>
            <w:r/>
            <w:r>
              <w:rPr>
                <w:rFonts w:ascii="Aptos" w:hAnsi="Aptos"/>
                <w:b w:val="0"/>
                <w:sz w:val="17"/>
              </w:rPr>
              <w:t>March 3, 2025</w:t>
            </w:r>
          </w:p>
        </w:tc>
        <w:tc>
          <w:tcPr>
            <w:tcW w:type="dxa" w:w="2232"/>
            <w:vAlign w:val="center"/>
            <w:tcMar>
              <w:top w:w="90" w:type="dxa"/>
              <w:start w:w="100" w:type="dxa"/>
              <w:bottom w:w="90" w:type="dxa"/>
              <w:end w:w="100" w:type="dxa"/>
            </w:tcMar>
          </w:tcPr>
          <w:p>
            <w:pPr>
              <w:spacing w:after="0" w:before="0" w:line="240" w:lineRule="auto"/>
            </w:pPr>
            <w:r/>
            <w:r>
              <w:rPr>
                <w:rFonts w:ascii="Aptos" w:hAnsi="Aptos"/>
                <w:b w:val="0"/>
                <w:sz w:val="17"/>
              </w:rPr>
              <w:t>March 14, 2025</w:t>
            </w:r>
          </w:p>
        </w:tc>
      </w:tr>
    </w:tbl>
    <w:p>
      <w:pPr>
        <w:spacing w:after="20"/>
      </w:pPr>
    </w:p>
    <w:p>
      <w:pPr>
        <w:spacing w:after="160" w:before="0" w:line="254" w:lineRule="auto"/>
      </w:pPr>
      <w:r>
        <w:rPr>
          <w:i/>
        </w:rPr>
        <w:t>Prepared at counsel’s direction for internal settlement planning. This memorandum reflects counsel’s preliminary evaluation of the materials supplied for mediation, not an admission, a prediction of any particular verdict, or a communication for disclosure to the mediator or opposing counsel.</w:t>
      </w:r>
    </w:p>
    <w:p>
      <w:pPr>
        <w:pStyle w:val="Heading1"/>
        <w:keepNext/>
      </w:pPr>
      <w:r>
        <w:t>Executive Recommendation</w:t>
      </w:r>
    </w:p>
    <w:tbl>
      <w:tblPr>
        <w:tblW w:type="auto" w:w="0"/>
        <w:jc w:val="center"/>
        <w:tblLayout w:type="fixed"/>
        <w:tblLook w:firstColumn="1" w:firstRow="1" w:lastColumn="0" w:lastRow="0" w:noHBand="0" w:noVBand="1" w:val="04A0"/>
      </w:tblPr>
      <w:tblGrid>
        <w:gridCol w:w="9994"/>
      </w:tblGrid>
      <w:tr>
        <w:tc>
          <w:tcPr>
            <w:tcW w:type="dxa" w:w="9994"/>
            <w:shd w:fill="EAF0F6"/>
            <w:tcMar>
              <w:top w:w="140" w:type="dxa"/>
              <w:start w:w="180" w:type="dxa"/>
              <w:bottom w:w="140" w:type="dxa"/>
              <w:end w:w="180" w:type="dxa"/>
            </w:tcMar>
          </w:tcPr>
          <w:p>
            <w:pPr>
              <w:spacing w:after="80"/>
            </w:pPr>
            <w:r/>
            <w:r>
              <w:rPr>
                <w:rFonts w:ascii="Aptos Display" w:hAnsi="Aptos Display"/>
                <w:b/>
                <w:color w:val="17365D"/>
                <w:sz w:val="21"/>
              </w:rPr>
              <w:t>BOTTOM LINE</w:t>
            </w:r>
          </w:p>
          <w:p>
            <w:pPr>
              <w:spacing w:after="0" w:line="252" w:lineRule="auto"/>
            </w:pPr>
            <w:r>
              <w:rPr>
                <w:rFonts w:ascii="Aptos" w:hAnsi="Aptos"/>
                <w:sz w:val="19"/>
              </w:rPr>
              <w:t>Value the case at $3.5–$5.5 million gross, inclusive of all claims and conditioned on a documented resolution of the $481,800 Buckeye Mutual lien. Aim to settle in the $4.25–$4.75 million zone. Open at $1.8 million, consistent with the defense mediation brief’s stated range, and move only in response to meaningful plaintiff movement. Seek mediation authority up to $5.5 million; any higher amount should return to the Committee for express approval. The principal reason to settle above Greenfield’s filed $1.8–$2.5 million valuation is the unusually strong prior-knowledge / punitive narrative and the material risk that Ohio’s catastrophic-injury exception defeats the asserted $350,000 non-economic-damages cap for Mr. Holt.</w:t>
            </w:r>
          </w:p>
        </w:tc>
      </w:tr>
    </w:tbl>
    <w:p>
      <w:pPr>
        <w:spacing w:after="20"/>
      </w:pPr>
    </w:p>
    <w:p>
      <w:pPr>
        <w:spacing w:after="100" w:before="0" w:line="254" w:lineRule="auto"/>
      </w:pPr>
      <w:r>
        <w:rPr>
          <w:i w:val="0"/>
        </w:rPr>
        <w:t>All figures in this memorandum are gross settlement or verdict amounts unless specified. The workers’ compensation lien and attorneys’ fees affect distribution and net recovery; they are not additional damages to be added on top of a global settlement. Any offer should be expressly contingent on lien resolution, releases from both plaintiffs, and no separate payment beyond the agreed gross amount.</w:t>
      </w:r>
    </w:p>
    <w:p>
      <w:pPr>
        <w:pStyle w:val="Heading1"/>
        <w:keepNext/>
      </w:pPr>
      <w:r>
        <w:t>1. Case Posture and Valuation Drivers</w:t>
      </w:r>
    </w:p>
    <w:p>
      <w:pPr>
        <w:spacing w:after="100" w:before="0" w:line="254" w:lineRule="auto"/>
      </w:pPr>
      <w:r>
        <w:rPr>
          <w:i w:val="0"/>
        </w:rPr>
        <w:t>Marcus Holt, 38, suffered a trans-radial (below-elbow) amputation of his left forearm in a June 18, 2023 GP-7500 press incident. The parties do not materially dispute that the ram unexpectedly re-descended while he was retrieving a formed part. The disputed question is whether Greenfield’s alleged single-channel interlock defect was a proximate cause of injury despite Apex’s removal of the OEM guard and installation of an aftermarket guard leaving an approximately 4.5-inch gap (versus approximately 1 inch for the OEM guard). Jennifer Holt asserts loss of consortium.</w:t>
      </w:r>
    </w:p>
    <w:p>
      <w:pPr>
        <w:pStyle w:val="Heading2"/>
        <w:keepNext/>
      </w:pPr>
      <w:r>
        <w:t>Plaintiffs’ strongest proof</w:t>
      </w:r>
    </w:p>
    <w:p>
      <w:pPr>
        <w:pStyle w:val="ListBullet"/>
        <w:spacing w:after="60" w:line="247" w:lineRule="auto"/>
      </w:pPr>
      <w:r>
        <w:t>The October 2019 Reedley–Mitchum emails are unusually damaging. Reedley identified a single-point-of-failure, cited four prior re-cycling incidents (three with injuries by his October 11 follow-up), recommended a redundant interlock and retrofit notice, and warned of a foreseeable serious crush injury. Management deferred the fix to a future refresh, declined a separate risk assessment, and the redundant interlock was implemented only after Holt’s injury. Seven reported events and three injuries by 2023 reinforce notice.</w:t>
      </w:r>
    </w:p>
    <w:p>
      <w:pPr>
        <w:pStyle w:val="ListBullet"/>
        <w:spacing w:after="60" w:line="247" w:lineRule="auto"/>
      </w:pPr>
      <w:r>
        <w:t>Holt did not make the guard change. Briggs admits he removed the original guard for production convenience, used generic instructions, did not measure the replacement gap, and did not consult Greenfield or ShieldTech. Holt’s account that he reached in during the return phase to retrieve a part is consistent with ordinary press work and the manual as described in the briefs. A jury may find little or no personal fault by Holt.</w:t>
      </w:r>
    </w:p>
    <w:p>
      <w:pPr>
        <w:pStyle w:val="ListBullet"/>
        <w:spacing w:after="60" w:line="247" w:lineRule="auto"/>
      </w:pPr>
      <w:r>
        <w:t>Dr. Anita Vasquez is well-qualified and squarely opines that the hydraulic control defect caused the re-cycle independently of the guard. Her report attacks Dr. Kwan for analyzing access but not the root cause of ram movement. If the jury accepts her account that the OEM guard permitted access during retrieval, the guard change may be viewed as a contributing exposure condition rather than a superseding cause.</w:t>
      </w:r>
    </w:p>
    <w:p>
      <w:pPr>
        <w:pStyle w:val="Heading2"/>
        <w:keepNext/>
      </w:pPr>
      <w:r>
        <w:t>Greenfield’s strongest proof</w:t>
      </w:r>
    </w:p>
    <w:p>
      <w:pPr>
        <w:pStyle w:val="ListBullet"/>
        <w:spacing w:after="60" w:line="247" w:lineRule="auto"/>
      </w:pPr>
      <w:r>
        <w:t>The aftermarket guard materially enlarged the opening, was not model-specific or interlocked, and was installed without measurement or compatibility review. Briggs’s testimony supplies a concrete, understandable alternative cause. Dr. Kwan’s physical-access opinion—that the OEM guard would have prevented hand entry at all stages—could support a complete defense if credited.</w:t>
      </w:r>
    </w:p>
    <w:p>
      <w:pPr>
        <w:pStyle w:val="ListBullet"/>
        <w:spacing w:after="60" w:line="247" w:lineRule="auto"/>
      </w:pPr>
      <w:r>
        <w:t>The defect mechanism and causal chain remain contestable. Vasquez infers a transient valve-spool sticking event; the supplied materials do not establish that the precise failure was reproduced. Her “OEM guard would not prevent injury” opinion is vulnerable to cross-examination and a Daubert challenge. The competing opinions about what the OEM guard allowed during return-stroke retrieval are central, not peripheral.</w:t>
      </w:r>
    </w:p>
    <w:p>
      <w:pPr>
        <w:pStyle w:val="ListBullet"/>
        <w:spacing w:after="60" w:line="247" w:lineRule="auto"/>
      </w:pPr>
      <w:r>
        <w:t>Greenfield can argue the GP-7500 included two-hand controls, anti-repeat functions, an OEM guard, and complied with the applicable standard as interpreted by Kwan; seven reports among roughly 1,850 units is a low reported frequency. The defense verdict in Brewer illustrates that an employer-modification case can end in no manufacturer liability, although Brewer is materially less adverse to the manufacturer than Holt on notice and injury severity.</w:t>
      </w:r>
    </w:p>
    <w:p>
      <w:pPr>
        <w:spacing w:after="100" w:before="0" w:line="254" w:lineRule="auto"/>
      </w:pPr>
      <w:r>
        <w:rPr>
          <w:i w:val="0"/>
        </w:rPr>
        <w:t>Net liability view: meaningful defense-verdict risk remains, particularly if the plaintiff’s expert is excluded or the jury accepts Kwan’s guard-access analysis. If the jury reaches the merits, however, Greenfield faces a substantial chance of a plaintiff verdict and a material risk of significant comparative allocation to Greenfield. For settlement modeling, use roughly 30% defense/no-liability, 25% defense-leaning plaintiff verdict, 30% mixed verdict, and 15% adverse verdict as decision weights—not as empirically precise probabilities. On plaintiff verdicts, an illustrative Greenfield share of 30%–60% is more realistic than either side’s most extreme allocation; Apex allocation and whether it may be placed on the verdict form require legal confirmation. Plaintiff fault appears low (approximately 0%–5%) on this record.</w:t>
      </w:r>
    </w:p>
    <w:p>
      <w:pPr>
        <w:pStyle w:val="Heading1"/>
        <w:keepNext/>
      </w:pPr>
      <w:r>
        <w:t>2. Damages Assessment</w:t>
      </w:r>
    </w:p>
    <w:p>
      <w:pPr>
        <w:pStyle w:val="Heading2"/>
        <w:keepNext/>
      </w:pPr>
      <w:r>
        <w:t>Economic damages</w:t>
      </w:r>
    </w:p>
    <w:p>
      <w:pPr>
        <w:spacing w:after="100" w:before="0" w:line="254" w:lineRule="auto"/>
      </w:pPr>
      <w:r>
        <w:rPr>
          <w:i w:val="0"/>
        </w:rPr>
        <w:t>Dr. Aldrich calculates $2.405 million; Dr. Cho calculates $1.687 million. Past medical expenses ($363,700) and past lost wages ($138,400) are accepted by Cho, totaling $502,100. Most of the dispute concerns future earning capacity, discounting, work-life expectancy, and prosthetic replacement assumptions. A reasonable settlement working range for economic damages is $1.8–$2.4 million, with approximately $2.0–$2.2 million as a practical center pending reconciliation of expert worksheets. Aldrich’s lower alternative-wage assumption is supportable; Cho’s $52,000 retraining assumption may be optimistic absent a completed retraining or placement record. Conversely, Cho’s higher discount rate and lower prosthetic assumptions are not self-proving.</w:t>
      </w:r>
    </w:p>
    <w:p>
      <w:pPr>
        <w:spacing w:after="100" w:before="0" w:line="254" w:lineRule="auto"/>
      </w:pPr>
      <w:r>
        <w:rPr>
          <w:i w:val="0"/>
        </w:rPr>
        <w:t>Do not treat Cho’s $1.687 million total as fully validated until the underlying calculation is reconciled: her report’s narrative gives $563,700 for future earning capacity, while the summary labels the same $563,700 as future earning capacity “including fringe benefits,” without a separately stated present value for fringe benefits. The summary arithmetic reaches $1.687 million only if that line includes fringe. Aldrich’s component totals do sum to $2.405 million.</w:t>
      </w:r>
    </w:p>
    <w:p>
      <w:pPr>
        <w:pStyle w:val="Heading2"/>
        <w:keepNext/>
      </w:pPr>
      <w:r>
        <w:t>Non-economic damages and consortium</w:t>
      </w:r>
    </w:p>
    <w:p>
      <w:pPr>
        <w:spacing w:after="100" w:before="0" w:line="254" w:lineRule="auto"/>
      </w:pPr>
      <w:r>
        <w:rPr>
          <w:i w:val="0"/>
        </w:rPr>
        <w:t>Holt’s amputation, 78% whole-person impairment, phantom-limb pain, permanent disfigurement, loss of trade and activities, and emotional effects create substantial non-economic exposure. The defense mediation brief’s reliance on a $350,000 cap for Holt should not be used as a dependable valuation premise. Ohio Rev. Code § 2315.18(B)(3) provides a catastrophic-injury exception to the general cap; the statutory definition includes loss of use of a limb and permanent, substantial physical deformity. A below-elbow amputation appears to fit that language. Counsel should confirm the current statute, application to this record, and the separate treatment of Jennifer’s derivative consortium claim, which may remain capped. Subject to that legal check, a reasonable jury range for Holt’s non-economic damages is approximately $2.5–$5.5 million, with higher outcomes possible on compelling proof. Consortium exposure is approximately $150,000–$500,000 for valuation purposes; plaintiffs seek $500,000–$750,000.</w:t>
      </w:r>
    </w:p>
    <w:p>
      <w:pPr>
        <w:spacing w:after="100" w:before="0" w:line="254" w:lineRule="auto"/>
      </w:pPr>
      <w:r>
        <w:rPr>
          <w:i w:val="0"/>
        </w:rPr>
        <w:t>Accordingly, a practical gross compensatory verdict range before comparative allocation is approximately $4.5–$8.5 million (economic, Holt non-economic, and consortium), with a central working point near $6–$7 million. This is consistent with, but not mechanically determined by, the comparable outcomes below.</w:t>
      </w:r>
    </w:p>
    <w:p>
      <w:pPr>
        <w:pStyle w:val="Heading2"/>
        <w:keepNext/>
      </w:pPr>
      <w:r>
        <w:t>Punitive damages</w:t>
      </w:r>
    </w:p>
    <w:p>
      <w:pPr>
        <w:spacing w:after="100" w:before="0" w:line="254" w:lineRule="auto"/>
      </w:pPr>
      <w:r>
        <w:rPr>
          <w:i w:val="0"/>
        </w:rPr>
        <w:t>Punitive exposure is a separate and material tail risk, not a routine add-on to the compensatory settlement range. Plaintiffs have a strong conscious-disregard narrative: a written engineer warning, prior injuries, a modest proposed fix, a management deferral, no separate risk assessment, continued sales, and no field retrofit warning. Greenfield has defenses on the governing standard, risk frequency, causation, and the meaning of the decision. If liability is found, the emails create a meaningful chance a jury will consider punitive damages. Ohio’s statutory standard and cap (generally up to two times compensatory damages for a large employer) require separate analysis; insurability is disputed under the policies and Ohio law. Do not assume punitive damages are insured or that the statutory maximum is a likely award.</w:t>
      </w:r>
    </w:p>
    <w:p>
      <w:pPr>
        <w:pStyle w:val="Heading1"/>
        <w:keepNext/>
      </w:pPr>
      <w:r>
        <w:t>3. Comparable Outcomes and Trial-Exposure Scenarios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100" w:type="dxa"/>
              <w:bottom w:w="90" w:type="dxa"/>
              <w:end w:w="100" w:type="dxa"/>
            </w:tcMar>
            <w:shd w:fill="17365D"/>
          </w:tcPr>
          <w:p>
            <w:pPr>
              <w:spacing w:after="0" w:before="0" w:line="240" w:lineRule="auto"/>
            </w:pPr>
            <w:r/>
            <w:r>
              <w:rPr>
                <w:rFonts w:ascii="Aptos" w:hAnsi="Aptos"/>
                <w:b/>
                <w:color w:val="FFFFFF"/>
                <w:sz w:val="16"/>
              </w:rPr>
              <w:t>Comparable</w:t>
            </w:r>
          </w:p>
        </w:tc>
        <w:tc>
          <w:tcPr>
            <w:tcW w:type="dxa" w:w="2520"/>
            <w:vAlign w:val="center"/>
            <w:tcMar>
              <w:top w:w="90" w:type="dxa"/>
              <w:start w:w="100" w:type="dxa"/>
              <w:bottom w:w="90" w:type="dxa"/>
              <w:end w:w="100" w:type="dxa"/>
            </w:tcMar>
            <w:shd w:fill="17365D"/>
          </w:tcPr>
          <w:p>
            <w:pPr>
              <w:spacing w:after="0" w:before="0" w:line="240" w:lineRule="auto"/>
            </w:pPr>
            <w:r/>
            <w:r>
              <w:rPr>
                <w:rFonts w:ascii="Aptos" w:hAnsi="Aptos"/>
                <w:b/>
                <w:color w:val="FFFFFF"/>
                <w:sz w:val="16"/>
              </w:rPr>
              <w:t>Reported outcome</w:t>
            </w:r>
          </w:p>
        </w:tc>
        <w:tc>
          <w:tcPr>
            <w:tcW w:type="dxa" w:w="5256"/>
            <w:vAlign w:val="center"/>
            <w:tcMar>
              <w:top w:w="90" w:type="dxa"/>
              <w:start w:w="100" w:type="dxa"/>
              <w:bottom w:w="90" w:type="dxa"/>
              <w:end w:w="100" w:type="dxa"/>
            </w:tcMar>
            <w:shd w:fill="17365D"/>
          </w:tcPr>
          <w:p>
            <w:pPr>
              <w:spacing w:after="0" w:before="0" w:line="240" w:lineRule="auto"/>
            </w:pPr>
            <w:r/>
            <w:r>
              <w:rPr>
                <w:rFonts w:ascii="Aptos" w:hAnsi="Aptos"/>
                <w:b/>
                <w:color w:val="FFFFFF"/>
                <w:sz w:val="16"/>
              </w:rPr>
              <w:t>Use in Holt valuation</w:t>
            </w:r>
          </w:p>
        </w:tc>
      </w:tr>
      <w:tr>
        <w:tc>
          <w:tcPr>
            <w:tcW w:type="dxa" w:w="2016"/>
            <w:vAlign w:val="center"/>
            <w:tcMar>
              <w:top w:w="90" w:type="dxa"/>
              <w:start w:w="100" w:type="dxa"/>
              <w:bottom w:w="90" w:type="dxa"/>
              <w:end w:w="100" w:type="dxa"/>
            </w:tcMar>
          </w:tcPr>
          <w:p>
            <w:pPr>
              <w:spacing w:after="0" w:before="0" w:line="240" w:lineRule="auto"/>
            </w:pPr>
            <w:r/>
            <w:r>
              <w:rPr>
                <w:rFonts w:ascii="Aptos" w:hAnsi="Aptos"/>
                <w:b w:val="0"/>
                <w:sz w:val="16"/>
              </w:rPr>
              <w:t>Garza v. Titan Hydraulics (S.D. Ohio, 2020)</w:t>
            </w:r>
          </w:p>
        </w:tc>
        <w:tc>
          <w:tcPr>
            <w:tcW w:type="dxa" w:w="2520"/>
            <w:vAlign w:val="center"/>
            <w:tcMar>
              <w:top w:w="90" w:type="dxa"/>
              <w:start w:w="100" w:type="dxa"/>
              <w:bottom w:w="90" w:type="dxa"/>
              <w:end w:w="100" w:type="dxa"/>
            </w:tcMar>
          </w:tcPr>
          <w:p>
            <w:pPr>
              <w:spacing w:after="0" w:before="0" w:line="240" w:lineRule="auto"/>
            </w:pPr>
            <w:r/>
            <w:r>
              <w:rPr>
                <w:rFonts w:ascii="Aptos" w:hAnsi="Aptos"/>
                <w:b w:val="0"/>
                <w:sz w:val="16"/>
              </w:rPr>
              <w:t xml:space="preserve"> $6.4M settlement; below-elbow amputation; 20% employer fault</w:t>
            </w:r>
          </w:p>
        </w:tc>
        <w:tc>
          <w:tcPr>
            <w:tcW w:type="dxa" w:w="5256"/>
            <w:vAlign w:val="center"/>
            <w:tcMar>
              <w:top w:w="90" w:type="dxa"/>
              <w:start w:w="100" w:type="dxa"/>
              <w:bottom w:w="90" w:type="dxa"/>
              <w:end w:w="100" w:type="dxa"/>
            </w:tcMar>
          </w:tcPr>
          <w:p>
            <w:pPr>
              <w:spacing w:after="0" w:before="0" w:line="240" w:lineRule="auto"/>
            </w:pPr>
            <w:r/>
            <w:r>
              <w:rPr>
                <w:rFonts w:ascii="Aptos" w:hAnsi="Aptos"/>
                <w:b w:val="0"/>
                <w:sz w:val="16"/>
              </w:rPr>
              <w:t>Closest injury/jurisdiction analog. Down-adjust for admitted defect in Garza and potentially greater Apex fault here; up-adjust for Holt’s unusually strong internal notice/punitive evidence.</w:t>
            </w:r>
          </w:p>
        </w:tc>
      </w:tr>
      <w:tr>
        <w:tc>
          <w:tcPr>
            <w:tcW w:type="dxa" w:w="2016"/>
            <w:vAlign w:val="center"/>
            <w:tcMar>
              <w:top w:w="90" w:type="dxa"/>
              <w:start w:w="100" w:type="dxa"/>
              <w:bottom w:w="90" w:type="dxa"/>
              <w:end w:w="100" w:type="dxa"/>
            </w:tcMar>
            <w:shd w:fill="F2F5F8"/>
          </w:tcPr>
          <w:p>
            <w:pPr>
              <w:spacing w:after="0" w:before="0" w:line="240" w:lineRule="auto"/>
            </w:pPr>
            <w:r/>
            <w:r>
              <w:rPr>
                <w:rFonts w:ascii="Aptos" w:hAnsi="Aptos"/>
                <w:b w:val="0"/>
                <w:sz w:val="16"/>
              </w:rPr>
              <w:t>Novak v. Steelform (N.D. Ohio, 2022)</w:t>
            </w:r>
          </w:p>
        </w:tc>
        <w:tc>
          <w:tcPr>
            <w:tcW w:type="dxa" w:w="2520"/>
            <w:vAlign w:val="center"/>
            <w:tcMar>
              <w:top w:w="90" w:type="dxa"/>
              <w:start w:w="100" w:type="dxa"/>
              <w:bottom w:w="90" w:type="dxa"/>
              <w:end w:w="100" w:type="dxa"/>
            </w:tcMar>
            <w:shd w:fill="F2F5F8"/>
          </w:tcPr>
          <w:p>
            <w:pPr>
              <w:spacing w:after="0" w:before="0" w:line="240" w:lineRule="auto"/>
            </w:pPr>
            <w:r/>
            <w:r>
              <w:rPr>
                <w:rFonts w:ascii="Aptos" w:hAnsi="Aptos"/>
                <w:b w:val="0"/>
                <w:sz w:val="16"/>
              </w:rPr>
              <w:t xml:space="preserve"> $8.7M verdict; estimated $6.5–$7.5M appeal settlement; above-elbow amputation</w:t>
            </w:r>
          </w:p>
        </w:tc>
        <w:tc>
          <w:tcPr>
            <w:tcW w:type="dxa" w:w="5256"/>
            <w:vAlign w:val="center"/>
            <w:tcMar>
              <w:top w:w="90" w:type="dxa"/>
              <w:start w:w="100" w:type="dxa"/>
              <w:bottom w:w="90" w:type="dxa"/>
              <w:end w:w="100" w:type="dxa"/>
            </w:tcMar>
            <w:shd w:fill="F2F5F8"/>
          </w:tcPr>
          <w:p>
            <w:pPr>
              <w:spacing w:after="0" w:before="0" w:line="240" w:lineRule="auto"/>
            </w:pPr>
            <w:r/>
            <w:r>
              <w:rPr>
                <w:rFonts w:ascii="Aptos" w:hAnsi="Aptos"/>
                <w:b w:val="0"/>
                <w:sz w:val="16"/>
              </w:rPr>
              <w:t>Upper anchor with prior notice; above-elbow injury is more severe and final settlement estimate is not verified.</w:t>
            </w:r>
          </w:p>
        </w:tc>
      </w:tr>
      <w:tr>
        <w:tc>
          <w:tcPr>
            <w:tcW w:type="dxa" w:w="2016"/>
            <w:vAlign w:val="center"/>
            <w:tcMar>
              <w:top w:w="90" w:type="dxa"/>
              <w:start w:w="100" w:type="dxa"/>
              <w:bottom w:w="90" w:type="dxa"/>
              <w:end w:w="100" w:type="dxa"/>
            </w:tcMar>
          </w:tcPr>
          <w:p>
            <w:pPr>
              <w:spacing w:after="0" w:before="0" w:line="240" w:lineRule="auto"/>
            </w:pPr>
            <w:r/>
            <w:r>
              <w:rPr>
                <w:rFonts w:ascii="Aptos" w:hAnsi="Aptos"/>
                <w:b w:val="0"/>
                <w:sz w:val="16"/>
              </w:rPr>
              <w:t>Williams v. PressForce (Hamilton County, 2019)</w:t>
            </w:r>
          </w:p>
        </w:tc>
        <w:tc>
          <w:tcPr>
            <w:tcW w:type="dxa" w:w="2520"/>
            <w:vAlign w:val="center"/>
            <w:tcMar>
              <w:top w:w="90" w:type="dxa"/>
              <w:start w:w="100" w:type="dxa"/>
              <w:bottom w:w="90" w:type="dxa"/>
              <w:end w:w="100" w:type="dxa"/>
            </w:tcMar>
          </w:tcPr>
          <w:p>
            <w:pPr>
              <w:spacing w:after="0" w:before="0" w:line="240" w:lineRule="auto"/>
            </w:pPr>
            <w:r/>
            <w:r>
              <w:rPr>
                <w:rFonts w:ascii="Aptos" w:hAnsi="Aptos"/>
                <w:b w:val="0"/>
                <w:sz w:val="16"/>
              </w:rPr>
              <w:t xml:space="preserve"> $3.9M settlement; four-finger amputation, plaintiff bypassed guard</w:t>
            </w:r>
          </w:p>
        </w:tc>
        <w:tc>
          <w:tcPr>
            <w:tcW w:type="dxa" w:w="5256"/>
            <w:vAlign w:val="center"/>
            <w:tcMar>
              <w:top w:w="90" w:type="dxa"/>
              <w:start w:w="100" w:type="dxa"/>
              <w:bottom w:w="90" w:type="dxa"/>
              <w:end w:w="100" w:type="dxa"/>
            </w:tcMar>
          </w:tcPr>
          <w:p>
            <w:pPr>
              <w:spacing w:after="0" w:before="0" w:line="240" w:lineRule="auto"/>
            </w:pPr>
            <w:r/>
            <w:r>
              <w:rPr>
                <w:rFonts w:ascii="Aptos" w:hAnsi="Aptos"/>
                <w:b w:val="0"/>
                <w:sz w:val="16"/>
              </w:rPr>
              <w:t>Lower reference; less severe injury and plaintiff fault distinguish it.</w:t>
            </w:r>
          </w:p>
        </w:tc>
      </w:tr>
      <w:tr>
        <w:tc>
          <w:tcPr>
            <w:tcW w:type="dxa" w:w="2016"/>
            <w:vAlign w:val="center"/>
            <w:tcMar>
              <w:top w:w="90" w:type="dxa"/>
              <w:start w:w="100" w:type="dxa"/>
              <w:bottom w:w="90" w:type="dxa"/>
              <w:end w:w="100" w:type="dxa"/>
            </w:tcMar>
            <w:shd w:fill="F2F5F8"/>
          </w:tcPr>
          <w:p>
            <w:pPr>
              <w:spacing w:after="0" w:before="0" w:line="240" w:lineRule="auto"/>
            </w:pPr>
            <w:r/>
            <w:r>
              <w:rPr>
                <w:rFonts w:ascii="Aptos" w:hAnsi="Aptos"/>
                <w:b w:val="0"/>
                <w:sz w:val="16"/>
              </w:rPr>
              <w:t>Ostrowski v. Columbian (Cuyahoga County, 2020)</w:t>
            </w:r>
          </w:p>
        </w:tc>
        <w:tc>
          <w:tcPr>
            <w:tcW w:type="dxa" w:w="2520"/>
            <w:vAlign w:val="center"/>
            <w:tcMar>
              <w:top w:w="90" w:type="dxa"/>
              <w:start w:w="100" w:type="dxa"/>
              <w:bottom w:w="90" w:type="dxa"/>
              <w:end w:w="100" w:type="dxa"/>
            </w:tcMar>
            <w:shd w:fill="F2F5F8"/>
          </w:tcPr>
          <w:p>
            <w:pPr>
              <w:spacing w:after="0" w:before="0" w:line="240" w:lineRule="auto"/>
            </w:pPr>
            <w:r/>
            <w:r>
              <w:rPr>
                <w:rFonts w:ascii="Aptos" w:hAnsi="Aptos"/>
                <w:b w:val="0"/>
                <w:sz w:val="16"/>
              </w:rPr>
              <w:t xml:space="preserve"> $2.1M settlement; partial hand amputation, plaintiff removed guard</w:t>
            </w:r>
          </w:p>
        </w:tc>
        <w:tc>
          <w:tcPr>
            <w:tcW w:type="dxa" w:w="5256"/>
            <w:vAlign w:val="center"/>
            <w:tcMar>
              <w:top w:w="90" w:type="dxa"/>
              <w:start w:w="100" w:type="dxa"/>
              <w:bottom w:w="90" w:type="dxa"/>
              <w:end w:w="100" w:type="dxa"/>
            </w:tcMar>
            <w:shd w:fill="F2F5F8"/>
          </w:tcPr>
          <w:p>
            <w:pPr>
              <w:spacing w:after="0" w:before="0" w:line="240" w:lineRule="auto"/>
            </w:pPr>
            <w:r/>
            <w:r>
              <w:rPr>
                <w:rFonts w:ascii="Aptos" w:hAnsi="Aptos"/>
                <w:b w:val="0"/>
                <w:sz w:val="16"/>
              </w:rPr>
              <w:t>Defense-oriented floor only; materially less severe injury and direct plaintiff fault.</w:t>
            </w:r>
          </w:p>
        </w:tc>
      </w:tr>
      <w:tr>
        <w:tc>
          <w:tcPr>
            <w:tcW w:type="dxa" w:w="2016"/>
            <w:vAlign w:val="center"/>
            <w:tcMar>
              <w:top w:w="90" w:type="dxa"/>
              <w:start w:w="100" w:type="dxa"/>
              <w:bottom w:w="90" w:type="dxa"/>
              <w:end w:w="100" w:type="dxa"/>
            </w:tcMar>
          </w:tcPr>
          <w:p>
            <w:pPr>
              <w:spacing w:after="0" w:before="0" w:line="240" w:lineRule="auto"/>
            </w:pPr>
            <w:r/>
            <w:r>
              <w:rPr>
                <w:rFonts w:ascii="Aptos" w:hAnsi="Aptos"/>
                <w:b w:val="0"/>
                <w:sz w:val="16"/>
              </w:rPr>
              <w:t>Petersen / Tanaka / Brewer</w:t>
            </w:r>
          </w:p>
        </w:tc>
        <w:tc>
          <w:tcPr>
            <w:tcW w:type="dxa" w:w="2520"/>
            <w:vAlign w:val="center"/>
            <w:tcMar>
              <w:top w:w="90" w:type="dxa"/>
              <w:start w:w="100" w:type="dxa"/>
              <w:bottom w:w="90" w:type="dxa"/>
              <w:end w:w="100" w:type="dxa"/>
            </w:tcMar>
          </w:tcPr>
          <w:p>
            <w:pPr>
              <w:spacing w:after="0" w:before="0" w:line="240" w:lineRule="auto"/>
            </w:pPr>
            <w:r/>
            <w:r>
              <w:rPr>
                <w:rFonts w:ascii="Aptos" w:hAnsi="Aptos"/>
                <w:b w:val="0"/>
                <w:sz w:val="16"/>
              </w:rPr>
              <w:t>Petersen $11.8M post-trial; Tanaka $4.8M post-appeal; Brewer defense verdict</w:t>
            </w:r>
          </w:p>
        </w:tc>
        <w:tc>
          <w:tcPr>
            <w:tcW w:type="dxa" w:w="5256"/>
            <w:vAlign w:val="center"/>
            <w:tcMar>
              <w:top w:w="90" w:type="dxa"/>
              <w:start w:w="100" w:type="dxa"/>
              <w:bottom w:w="90" w:type="dxa"/>
              <w:end w:w="100" w:type="dxa"/>
            </w:tcMar>
          </w:tcPr>
          <w:p>
            <w:pPr>
              <w:spacing w:after="0" w:before="0" w:line="240" w:lineRule="auto"/>
            </w:pPr>
            <w:r/>
            <w:r>
              <w:rPr>
                <w:rFonts w:ascii="Aptos" w:hAnsi="Aptos"/>
                <w:b w:val="0"/>
                <w:sz w:val="16"/>
              </w:rPr>
              <w:t>Petersen involved bilateral injury/no comparative fault; Tanaka highlights expert/appellate risk; Brewer shows modification-defense risk but lacks Holt’s comparable notice record and involved no amputation.</w:t>
            </w:r>
          </w:p>
        </w:tc>
      </w:tr>
    </w:tbl>
    <w:p>
      <w:pPr>
        <w:spacing w:after="20"/>
      </w:pPr>
    </w:p>
    <w:p>
      <w:pPr>
        <w:spacing w:after="100" w:before="0" w:line="254" w:lineRule="auto"/>
      </w:pPr>
      <w:r>
        <w:rPr>
          <w:i w:val="0"/>
        </w:rPr>
        <w:t>These outcomes are drawn from the supplied summary and should be verified before quoting externally; at least one post-appeal Novak figure is expressly an estimate. Taken together, the analogs support a global settlement materially above $2.5 million but below plaintiffs’ $9.5 million demand absent a very favorable liability ruling. The $9.5 million demand is not simply compensatory math: plaintiffs’ stated midpoint components total about $8.0 million ($2.405 million economic + $5.0 million Holt non-economic + $0.6 million consortium), leaving roughly $1.5 million as a settlement/punitive-risk premium. The lien is described as included, not additive.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Decision scenario</w:t>
            </w:r>
          </w:p>
        </w:tc>
        <w:tc>
          <w:tcPr>
            <w:tcW w:type="dxa" w:w="1008"/>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Weight</w:t>
            </w:r>
          </w:p>
        </w:tc>
        <w:tc>
          <w:tcPr>
            <w:tcW w:type="dxa" w:w="6552"/>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Illustrative result (before settlement discount)</w:t>
            </w:r>
          </w:p>
        </w:tc>
      </w:tr>
      <w:tr>
        <w:tc>
          <w:tcPr>
            <w:tcW w:type="dxa" w:w="2232"/>
            <w:vAlign w:val="center"/>
            <w:tcMar>
              <w:top w:w="90" w:type="dxa"/>
              <w:start w:w="100" w:type="dxa"/>
              <w:bottom w:w="90" w:type="dxa"/>
              <w:end w:w="100" w:type="dxa"/>
            </w:tcMar>
          </w:tcPr>
          <w:p>
            <w:pPr>
              <w:spacing w:after="0" w:before="0" w:line="240" w:lineRule="auto"/>
            </w:pPr>
            <w:r/>
            <w:r>
              <w:rPr>
                <w:rFonts w:ascii="Aptos" w:hAnsi="Aptos"/>
                <w:b w:val="0"/>
                <w:sz w:val="17"/>
              </w:rPr>
              <w:t>Defense verdict / causation failure</w:t>
            </w:r>
          </w:p>
        </w:tc>
        <w:tc>
          <w:tcPr>
            <w:tcW w:type="dxa" w:w="1008"/>
            <w:vAlign w:val="center"/>
            <w:tcMar>
              <w:top w:w="90" w:type="dxa"/>
              <w:start w:w="100" w:type="dxa"/>
              <w:bottom w:w="90" w:type="dxa"/>
              <w:end w:w="100" w:type="dxa"/>
            </w:tcMar>
          </w:tcPr>
          <w:p>
            <w:pPr>
              <w:spacing w:after="0" w:before="0" w:line="240" w:lineRule="auto"/>
            </w:pPr>
            <w:r/>
            <w:r>
              <w:rPr>
                <w:rFonts w:ascii="Aptos" w:hAnsi="Aptos"/>
                <w:b w:val="0"/>
                <w:sz w:val="17"/>
              </w:rPr>
              <w:t>30%</w:t>
            </w:r>
          </w:p>
        </w:tc>
        <w:tc>
          <w:tcPr>
            <w:tcW w:type="dxa" w:w="6552"/>
            <w:vAlign w:val="center"/>
            <w:tcMar>
              <w:top w:w="90" w:type="dxa"/>
              <w:start w:w="100" w:type="dxa"/>
              <w:bottom w:w="90" w:type="dxa"/>
              <w:end w:w="100" w:type="dxa"/>
            </w:tcMar>
          </w:tcPr>
          <w:p>
            <w:pPr>
              <w:spacing w:after="0" w:before="0" w:line="240" w:lineRule="auto"/>
            </w:pPr>
            <w:r/>
            <w:r>
              <w:rPr>
                <w:rFonts w:ascii="Aptos" w:hAnsi="Aptos"/>
                <w:b w:val="0"/>
                <w:sz w:val="17"/>
              </w:rPr>
              <w:t>$0 indemnity; most likely if the causation expert is excluded or the OEM-guard theory prevails.</w:t>
            </w:r>
          </w:p>
        </w:tc>
      </w:tr>
      <w:tr>
        <w:tc>
          <w:tcPr>
            <w:tcW w:type="dxa" w:w="2232"/>
            <w:vAlign w:val="center"/>
            <w:tcMar>
              <w:top w:w="90" w:type="dxa"/>
              <w:start w:w="100" w:type="dxa"/>
              <w:bottom w:w="90" w:type="dxa"/>
              <w:end w:w="100" w:type="dxa"/>
            </w:tcMar>
            <w:shd w:fill="F2F5F8"/>
          </w:tcPr>
          <w:p>
            <w:pPr>
              <w:spacing w:after="0" w:before="0" w:line="240" w:lineRule="auto"/>
            </w:pPr>
            <w:r/>
            <w:r>
              <w:rPr>
                <w:rFonts w:ascii="Aptos" w:hAnsi="Aptos"/>
                <w:b w:val="0"/>
                <w:sz w:val="17"/>
              </w:rPr>
              <w:t>Defense-leaning plaintiff verdict</w:t>
            </w:r>
          </w:p>
        </w:tc>
        <w:tc>
          <w:tcPr>
            <w:tcW w:type="dxa" w:w="1008"/>
            <w:vAlign w:val="center"/>
            <w:tcMar>
              <w:top w:w="90" w:type="dxa"/>
              <w:start w:w="100" w:type="dxa"/>
              <w:bottom w:w="90" w:type="dxa"/>
              <w:end w:w="100" w:type="dxa"/>
            </w:tcMar>
            <w:shd w:fill="F2F5F8"/>
          </w:tcPr>
          <w:p>
            <w:pPr>
              <w:spacing w:after="0" w:before="0" w:line="240" w:lineRule="auto"/>
            </w:pPr>
            <w:r/>
            <w:r>
              <w:rPr>
                <w:rFonts w:ascii="Aptos" w:hAnsi="Aptos"/>
                <w:b w:val="0"/>
                <w:sz w:val="17"/>
              </w:rPr>
              <w:t>25%</w:t>
            </w:r>
          </w:p>
        </w:tc>
        <w:tc>
          <w:tcPr>
            <w:tcW w:type="dxa" w:w="6552"/>
            <w:vAlign w:val="center"/>
            <w:tcMar>
              <w:top w:w="90" w:type="dxa"/>
              <w:start w:w="100" w:type="dxa"/>
              <w:bottom w:w="90" w:type="dxa"/>
              <w:end w:w="100" w:type="dxa"/>
            </w:tcMar>
            <w:shd w:fill="F2F5F8"/>
          </w:tcPr>
          <w:p>
            <w:pPr>
              <w:spacing w:after="0" w:before="0" w:line="240" w:lineRule="auto"/>
            </w:pPr>
            <w:r/>
            <w:r>
              <w:rPr>
                <w:rFonts w:ascii="Aptos" w:hAnsi="Aptos"/>
                <w:b w:val="0"/>
                <w:sz w:val="17"/>
              </w:rPr>
              <w:t>$4–$5M gross compensatory; Greenfield share about $1–$2M; punitive damages unlikely or limited.</w:t>
            </w:r>
          </w:p>
        </w:tc>
      </w:tr>
      <w:tr>
        <w:tc>
          <w:tcPr>
            <w:tcW w:type="dxa" w:w="2232"/>
            <w:vAlign w:val="center"/>
            <w:tcMar>
              <w:top w:w="90" w:type="dxa"/>
              <w:start w:w="100" w:type="dxa"/>
              <w:bottom w:w="90" w:type="dxa"/>
              <w:end w:w="100" w:type="dxa"/>
            </w:tcMar>
          </w:tcPr>
          <w:p>
            <w:pPr>
              <w:spacing w:after="0" w:before="0" w:line="240" w:lineRule="auto"/>
            </w:pPr>
            <w:r/>
            <w:r>
              <w:rPr>
                <w:rFonts w:ascii="Aptos" w:hAnsi="Aptos"/>
                <w:b w:val="0"/>
                <w:sz w:val="17"/>
              </w:rPr>
              <w:t>Mixed verdict</w:t>
            </w:r>
          </w:p>
        </w:tc>
        <w:tc>
          <w:tcPr>
            <w:tcW w:type="dxa" w:w="1008"/>
            <w:vAlign w:val="center"/>
            <w:tcMar>
              <w:top w:w="90" w:type="dxa"/>
              <w:start w:w="100" w:type="dxa"/>
              <w:bottom w:w="90" w:type="dxa"/>
              <w:end w:w="100" w:type="dxa"/>
            </w:tcMar>
          </w:tcPr>
          <w:p>
            <w:pPr>
              <w:spacing w:after="0" w:before="0" w:line="240" w:lineRule="auto"/>
            </w:pPr>
            <w:r/>
            <w:r>
              <w:rPr>
                <w:rFonts w:ascii="Aptos" w:hAnsi="Aptos"/>
                <w:b w:val="0"/>
                <w:sz w:val="17"/>
              </w:rPr>
              <w:t>30%</w:t>
            </w:r>
          </w:p>
        </w:tc>
        <w:tc>
          <w:tcPr>
            <w:tcW w:type="dxa" w:w="6552"/>
            <w:vAlign w:val="center"/>
            <w:tcMar>
              <w:top w:w="90" w:type="dxa"/>
              <w:start w:w="100" w:type="dxa"/>
              <w:bottom w:w="90" w:type="dxa"/>
              <w:end w:w="100" w:type="dxa"/>
            </w:tcMar>
          </w:tcPr>
          <w:p>
            <w:pPr>
              <w:spacing w:after="0" w:before="0" w:line="240" w:lineRule="auto"/>
            </w:pPr>
            <w:r/>
            <w:r>
              <w:rPr>
                <w:rFonts w:ascii="Aptos" w:hAnsi="Aptos"/>
                <w:b w:val="0"/>
                <w:sz w:val="17"/>
              </w:rPr>
              <w:t>$5.5–$7M gross compensatory; Greenfield share about $2.2–$4.2M; punitive damages possible.</w:t>
            </w:r>
          </w:p>
        </w:tc>
      </w:tr>
      <w:tr>
        <w:tc>
          <w:tcPr>
            <w:tcW w:type="dxa" w:w="2232"/>
            <w:vAlign w:val="center"/>
            <w:tcMar>
              <w:top w:w="90" w:type="dxa"/>
              <w:start w:w="100" w:type="dxa"/>
              <w:bottom w:w="90" w:type="dxa"/>
              <w:end w:w="100" w:type="dxa"/>
            </w:tcMar>
            <w:shd w:fill="F2F5F8"/>
          </w:tcPr>
          <w:p>
            <w:pPr>
              <w:spacing w:after="0" w:before="0" w:line="240" w:lineRule="auto"/>
            </w:pPr>
            <w:r/>
            <w:r>
              <w:rPr>
                <w:rFonts w:ascii="Aptos" w:hAnsi="Aptos"/>
                <w:b w:val="0"/>
                <w:sz w:val="17"/>
              </w:rPr>
              <w:t>Adverse plaintiff verdict</w:t>
            </w:r>
          </w:p>
        </w:tc>
        <w:tc>
          <w:tcPr>
            <w:tcW w:type="dxa" w:w="1008"/>
            <w:vAlign w:val="center"/>
            <w:tcMar>
              <w:top w:w="90" w:type="dxa"/>
              <w:start w:w="100" w:type="dxa"/>
              <w:bottom w:w="90" w:type="dxa"/>
              <w:end w:w="100" w:type="dxa"/>
            </w:tcMar>
            <w:shd w:fill="F2F5F8"/>
          </w:tcPr>
          <w:p>
            <w:pPr>
              <w:spacing w:after="0" w:before="0" w:line="240" w:lineRule="auto"/>
            </w:pPr>
            <w:r/>
            <w:r>
              <w:rPr>
                <w:rFonts w:ascii="Aptos" w:hAnsi="Aptos"/>
                <w:b w:val="0"/>
                <w:sz w:val="17"/>
              </w:rPr>
              <w:t>15%</w:t>
            </w:r>
          </w:p>
        </w:tc>
        <w:tc>
          <w:tcPr>
            <w:tcW w:type="dxa" w:w="6552"/>
            <w:vAlign w:val="center"/>
            <w:tcMar>
              <w:top w:w="90" w:type="dxa"/>
              <w:start w:w="100" w:type="dxa"/>
              <w:bottom w:w="90" w:type="dxa"/>
              <w:end w:w="100" w:type="dxa"/>
            </w:tcMar>
            <w:shd w:fill="F2F5F8"/>
          </w:tcPr>
          <w:p>
            <w:pPr>
              <w:spacing w:after="0" w:before="0" w:line="240" w:lineRule="auto"/>
            </w:pPr>
            <w:r/>
            <w:r>
              <w:rPr>
                <w:rFonts w:ascii="Aptos" w:hAnsi="Aptos"/>
                <w:b w:val="0"/>
                <w:sz w:val="17"/>
              </w:rPr>
              <w:t>$7–$10M gross compensatory; Greenfield share about $4.2–$10M; potential additional punitive award, subject to statutory and coverage issues.</w:t>
            </w:r>
          </w:p>
        </w:tc>
      </w:tr>
    </w:tbl>
    <w:p>
      <w:pPr>
        <w:spacing w:after="20"/>
      </w:pPr>
    </w:p>
    <w:p>
      <w:pPr>
        <w:spacing w:after="100" w:before="0" w:line="254" w:lineRule="auto"/>
      </w:pPr>
      <w:r>
        <w:rPr>
          <w:i w:val="0"/>
        </w:rPr>
        <w:t>Using middle-of-range values, these scenarios imply a rough probability-weighted exposure around $3.5–$4.0 million before a modest premium for verdict variance, punitive-tail risk, trial distraction, and the remaining cost of trying the case. This is a structured judgment aid, not an actuarial forecast. Trial exposure may exceed the $10 million primary indemnity limit in an adverse compensatory-plus-punitive outcome; defense costs are paid in addition to the primary indemnity limit.</w:t>
      </w:r>
    </w:p>
    <w:p>
      <w:pPr>
        <w:pStyle w:val="Heading1"/>
        <w:keepNext/>
      </w:pPr>
      <w:r>
        <w:t>4. Recommended Settlement Range and Negotiation Plan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Decision point</w:t>
            </w:r>
          </w:p>
        </w:tc>
        <w:tc>
          <w:tcPr>
            <w:tcW w:type="dxa" w:w="7632"/>
            <w:vAlign w:val="center"/>
            <w:tcMar>
              <w:top w:w="90" w:type="dxa"/>
              <w:start w:w="100" w:type="dxa"/>
              <w:bottom w:w="90" w:type="dxa"/>
              <w:end w:w="100" w:type="dxa"/>
            </w:tcMar>
            <w:shd w:fill="17365D"/>
          </w:tcPr>
          <w:p>
            <w:pPr>
              <w:spacing w:after="0" w:before="0" w:line="240" w:lineRule="auto"/>
            </w:pPr>
            <w:r/>
            <w:r>
              <w:rPr>
                <w:rFonts w:ascii="Aptos" w:hAnsi="Aptos"/>
                <w:b/>
                <w:color w:val="FFFFFF"/>
                <w:sz w:val="17"/>
              </w:rPr>
              <w:t>Recommendation</w:t>
            </w:r>
          </w:p>
        </w:tc>
      </w:tr>
      <w:tr>
        <w:tc>
          <w:tcPr>
            <w:tcW w:type="dxa" w:w="2160"/>
            <w:vAlign w:val="center"/>
            <w:tcMar>
              <w:top w:w="90" w:type="dxa"/>
              <w:start w:w="100" w:type="dxa"/>
              <w:bottom w:w="90" w:type="dxa"/>
              <w:end w:w="100" w:type="dxa"/>
            </w:tcMar>
          </w:tcPr>
          <w:p>
            <w:pPr>
              <w:spacing w:after="0" w:before="0" w:line="240" w:lineRule="auto"/>
            </w:pPr>
            <w:r/>
            <w:r>
              <w:rPr>
                <w:rFonts w:ascii="Aptos" w:hAnsi="Aptos"/>
                <w:b w:val="0"/>
                <w:sz w:val="17"/>
              </w:rPr>
              <w:t>Fair global settlement range</w:t>
            </w:r>
          </w:p>
        </w:tc>
        <w:tc>
          <w:tcPr>
            <w:tcW w:type="dxa" w:w="7632"/>
            <w:vAlign w:val="center"/>
            <w:tcMar>
              <w:top w:w="90" w:type="dxa"/>
              <w:start w:w="100" w:type="dxa"/>
              <w:bottom w:w="90" w:type="dxa"/>
              <w:end w:w="100" w:type="dxa"/>
            </w:tcMar>
          </w:tcPr>
          <w:p>
            <w:pPr>
              <w:spacing w:after="0" w:before="0" w:line="240" w:lineRule="auto"/>
            </w:pPr>
            <w:r/>
            <w:r>
              <w:rPr>
                <w:rFonts w:ascii="Aptos" w:hAnsi="Aptos"/>
                <w:b w:val="0"/>
                <w:sz w:val="17"/>
              </w:rPr>
              <w:t>$3.5–$5.5M gross, resolving all claims and the lien (subject to Buckeye’s written agreement).</w:t>
            </w:r>
          </w:p>
        </w:tc>
      </w:tr>
      <w:tr>
        <w:tc>
          <w:tcPr>
            <w:tcW w:type="dxa" w:w="2160"/>
            <w:vAlign w:val="center"/>
            <w:tcMar>
              <w:top w:w="90" w:type="dxa"/>
              <w:start w:w="100" w:type="dxa"/>
              <w:bottom w:w="90" w:type="dxa"/>
              <w:end w:w="100" w:type="dxa"/>
            </w:tcMar>
            <w:shd w:fill="F2F5F8"/>
          </w:tcPr>
          <w:p>
            <w:pPr>
              <w:spacing w:after="0" w:before="0" w:line="240" w:lineRule="auto"/>
            </w:pPr>
            <w:r/>
            <w:r>
              <w:rPr>
                <w:rFonts w:ascii="Aptos" w:hAnsi="Aptos"/>
                <w:b w:val="0"/>
                <w:sz w:val="17"/>
              </w:rPr>
              <w:t>Target zone</w:t>
            </w:r>
          </w:p>
        </w:tc>
        <w:tc>
          <w:tcPr>
            <w:tcW w:type="dxa" w:w="7632"/>
            <w:vAlign w:val="center"/>
            <w:tcMar>
              <w:top w:w="90" w:type="dxa"/>
              <w:start w:w="100" w:type="dxa"/>
              <w:bottom w:w="90" w:type="dxa"/>
              <w:end w:w="100" w:type="dxa"/>
            </w:tcMar>
            <w:shd w:fill="F2F5F8"/>
          </w:tcPr>
          <w:p>
            <w:pPr>
              <w:spacing w:after="0" w:before="0" w:line="240" w:lineRule="auto"/>
            </w:pPr>
            <w:r/>
            <w:r>
              <w:rPr>
                <w:rFonts w:ascii="Aptos" w:hAnsi="Aptos"/>
                <w:b w:val="0"/>
                <w:sz w:val="17"/>
              </w:rPr>
              <w:t>$4.25–$4.75M. At this level Greenfield pays a meaningful premium over its defense-weighted damages view to buy down the liability, punitive, and verdict-variance risks.</w:t>
            </w:r>
          </w:p>
        </w:tc>
      </w:tr>
      <w:tr>
        <w:tc>
          <w:tcPr>
            <w:tcW w:type="dxa" w:w="2160"/>
            <w:vAlign w:val="center"/>
            <w:tcMar>
              <w:top w:w="90" w:type="dxa"/>
              <w:start w:w="100" w:type="dxa"/>
              <w:bottom w:w="90" w:type="dxa"/>
              <w:end w:w="100" w:type="dxa"/>
            </w:tcMar>
          </w:tcPr>
          <w:p>
            <w:pPr>
              <w:spacing w:after="0" w:before="0" w:line="240" w:lineRule="auto"/>
            </w:pPr>
            <w:r/>
            <w:r>
              <w:rPr>
                <w:rFonts w:ascii="Aptos" w:hAnsi="Aptos"/>
                <w:b w:val="0"/>
                <w:sz w:val="17"/>
              </w:rPr>
              <w:t>Opening offer</w:t>
            </w:r>
          </w:p>
        </w:tc>
        <w:tc>
          <w:tcPr>
            <w:tcW w:type="dxa" w:w="7632"/>
            <w:vAlign w:val="center"/>
            <w:tcMar>
              <w:top w:w="90" w:type="dxa"/>
              <w:start w:w="100" w:type="dxa"/>
              <w:bottom w:w="90" w:type="dxa"/>
              <w:end w:w="100" w:type="dxa"/>
            </w:tcMar>
          </w:tcPr>
          <w:p>
            <w:pPr>
              <w:spacing w:after="0" w:before="0" w:line="240" w:lineRule="auto"/>
            </w:pPr>
            <w:r/>
            <w:r>
              <w:rPr>
                <w:rFonts w:ascii="Aptos" w:hAnsi="Aptos"/>
                <w:b w:val="0"/>
                <w:sz w:val="17"/>
              </w:rPr>
              <w:t>$1.8M, global and inclusive of the lien; no admission. This is the bottom of Greenfield’s stated range in its mediation brief and avoids an opening below its disclosed position.</w:t>
            </w:r>
          </w:p>
        </w:tc>
      </w:tr>
      <w:tr>
        <w:tc>
          <w:tcPr>
            <w:tcW w:type="dxa" w:w="2160"/>
            <w:vAlign w:val="center"/>
            <w:tcMar>
              <w:top w:w="90" w:type="dxa"/>
              <w:start w:w="100" w:type="dxa"/>
              <w:bottom w:w="90" w:type="dxa"/>
              <w:end w:w="100" w:type="dxa"/>
            </w:tcMar>
            <w:shd w:fill="F2F5F8"/>
          </w:tcPr>
          <w:p>
            <w:pPr>
              <w:spacing w:after="0" w:before="0" w:line="240" w:lineRule="auto"/>
            </w:pPr>
            <w:r/>
            <w:r>
              <w:rPr>
                <w:rFonts w:ascii="Aptos" w:hAnsi="Aptos"/>
                <w:b w:val="0"/>
                <w:sz w:val="17"/>
              </w:rPr>
              <w:t>Mediation authority</w:t>
            </w:r>
          </w:p>
        </w:tc>
        <w:tc>
          <w:tcPr>
            <w:tcW w:type="dxa" w:w="7632"/>
            <w:vAlign w:val="center"/>
            <w:tcMar>
              <w:top w:w="90" w:type="dxa"/>
              <w:start w:w="100" w:type="dxa"/>
              <w:bottom w:w="90" w:type="dxa"/>
              <w:end w:w="100" w:type="dxa"/>
            </w:tcMar>
            <w:shd w:fill="F2F5F8"/>
          </w:tcPr>
          <w:p>
            <w:pPr>
              <w:spacing w:after="0" w:before="0" w:line="240" w:lineRule="auto"/>
            </w:pPr>
            <w:r/>
            <w:r>
              <w:rPr>
                <w:rFonts w:ascii="Aptos" w:hAnsi="Aptos"/>
                <w:b w:val="0"/>
                <w:sz w:val="17"/>
              </w:rPr>
              <w:t>$5.5M maximum, subject to documented lien resolution, full releases and Committee approval of the final increment. Return for express approval before exceeding $5.5M.</w:t>
            </w:r>
          </w:p>
        </w:tc>
      </w:tr>
      <w:tr>
        <w:tc>
          <w:tcPr>
            <w:tcW w:type="dxa" w:w="2160"/>
            <w:vAlign w:val="center"/>
            <w:tcMar>
              <w:top w:w="90" w:type="dxa"/>
              <w:start w:w="100" w:type="dxa"/>
              <w:bottom w:w="90" w:type="dxa"/>
              <w:end w:w="100" w:type="dxa"/>
            </w:tcMar>
          </w:tcPr>
          <w:p>
            <w:pPr>
              <w:spacing w:after="0" w:before="0" w:line="240" w:lineRule="auto"/>
            </w:pPr>
            <w:r/>
            <w:r>
              <w:rPr>
                <w:rFonts w:ascii="Aptos" w:hAnsi="Aptos"/>
                <w:b w:val="0"/>
                <w:sz w:val="17"/>
              </w:rPr>
              <w:t>Non-negotiable structure</w:t>
            </w:r>
          </w:p>
        </w:tc>
        <w:tc>
          <w:tcPr>
            <w:tcW w:type="dxa" w:w="7632"/>
            <w:vAlign w:val="center"/>
            <w:tcMar>
              <w:top w:w="90" w:type="dxa"/>
              <w:start w:w="100" w:type="dxa"/>
              <w:bottom w:w="90" w:type="dxa"/>
              <w:end w:w="100" w:type="dxa"/>
            </w:tcMar>
          </w:tcPr>
          <w:p>
            <w:pPr>
              <w:spacing w:after="0" w:before="0" w:line="240" w:lineRule="auto"/>
            </w:pPr>
            <w:r/>
            <w:r>
              <w:rPr>
                <w:rFonts w:ascii="Aptos" w:hAnsi="Aptos"/>
                <w:b w:val="0"/>
                <w:sz w:val="17"/>
              </w:rPr>
              <w:t>One gross amount for both plaintiffs and the lien; obtain Buckeye’s payoff/compromise and release or escrow terms before finalizing. No separate lien payment outside the gross cap without further authority.</w:t>
            </w:r>
          </w:p>
        </w:tc>
      </w:tr>
    </w:tbl>
    <w:p>
      <w:pPr>
        <w:spacing w:after="20"/>
      </w:pPr>
    </w:p>
    <w:p>
      <w:pPr>
        <w:pStyle w:val="Heading2"/>
        <w:keepNext/>
      </w:pPr>
      <w:r>
        <w:t>Offer progression</w:t>
      </w:r>
    </w:p>
    <w:p>
      <w:pPr>
        <w:pStyle w:val="ListNumber"/>
        <w:spacing w:after="60" w:line="247" w:lineRule="auto"/>
      </w:pPr>
      <w:r>
        <w:t>Open at $1.8M after the plaintiffs state or reaffirm their demand. Acknowledge the severity of Holt’s injury, but explain that liability turns on the independent guard modification and contested causation, not on whether the injury is serious.</w:t>
      </w:r>
    </w:p>
    <w:p>
      <w:pPr>
        <w:pStyle w:val="ListNumber"/>
        <w:spacing w:after="60" w:line="247" w:lineRule="auto"/>
      </w:pPr>
      <w:r>
        <w:t>Move in conditional, diminishing increments (illustratively $2.25M, $2.75M, $3.25M, $3.75M, then $4.25M–$4.75M). Each move should be exchanged for a material plaintiff reduction or a clear mediator report that the parties are converging. Do not pre-commit to the schedule or reveal the $5.5M ceiling.</w:t>
      </w:r>
    </w:p>
    <w:p>
      <w:pPr>
        <w:pStyle w:val="ListNumber"/>
        <w:spacing w:after="60" w:line="247" w:lineRule="auto"/>
      </w:pPr>
      <w:r>
        <w:t>Use the mediator to test whether plaintiffs value a certain, prompt resolution against their own trial risks: expert exclusion, guard causation, employer allocation, appeal, and the uncertain proof of future retraining capacity. Ask for a reciprocal move below $7M before making a move above $3.75M.</w:t>
      </w:r>
    </w:p>
    <w:p>
      <w:pPr>
        <w:pStyle w:val="ListNumber"/>
        <w:spacing w:after="60" w:line="247" w:lineRule="auto"/>
      </w:pPr>
      <w:r>
        <w:t>Reserve the final move for a genuine closing gap. If the plaintiffs are at or below approximately $6M and the lien can be resolved within the gross figure, a final offer in the $5.0–$5.5M range is supportable. If they remain above $6M, do not bid against ourselves; reassess only with Committee approval and updated mediator feedback.</w:t>
      </w:r>
    </w:p>
    <w:p>
      <w:pPr>
        <w:spacing w:after="100" w:before="0" w:line="254" w:lineRule="auto"/>
      </w:pPr>
      <w:r>
        <w:rPr>
          <w:i w:val="0"/>
        </w:rPr>
        <w:t>The defense mediation brief’s $1.8–$2.5 million range should not be treated internally as a ceiling. It relies heavily on a statutory-cap position that is materially uncertain for a limb amputation and a defense-favorable fault allocation. The Committee should authorize movement based on this revised risk analysis, not defend the earlier range as a certain prediction. Keep the revised authority and punitive analysis strictly privileged.</w:t>
      </w:r>
    </w:p>
    <w:p>
      <w:pPr>
        <w:pStyle w:val="Heading2"/>
        <w:keepNext/>
      </w:pPr>
      <w:r>
        <w:t>Lien, net recovery, and coverage</w:t>
      </w:r>
    </w:p>
    <w:p>
      <w:pPr>
        <w:spacing w:after="100" w:before="0" w:line="254" w:lineRule="auto"/>
      </w:pPr>
      <w:r>
        <w:rPr>
          <w:i w:val="0"/>
        </w:rPr>
        <w:t>The $481,800 lien should be confirmed from Buckeye’s current ledger. The supplied record states $418,600 medical benefits plus $63,200 temporary total disability, yet Aldrich reports only $363,700 in total past medical expenses through January 15, 2025. That may reflect different benefit/billing measures, but it must be reconciled; do not represent the lien amount as settled without an updated payoff and compromise authority. At a $4.5M gross settlement, an illustrative plaintiff net after a one-third fee and full lien payment is about $2.52M before case costs and allocation between the Holts; at $5.0M it is about $2.85M. These are distribution illustrations only, not a reason to add the lien to damages.</w:t>
      </w:r>
    </w:p>
    <w:p>
      <w:pPr>
        <w:spacing w:after="100" w:before="0" w:line="254" w:lineRule="auto"/>
      </w:pPr>
      <w:r>
        <w:rPr>
          <w:i w:val="0"/>
        </w:rPr>
        <w:t>Coverage: the $250,000 SIR is reported exhausted. Ridgeline’s $10M per-occurrence indemnity limit remains available, and defense expenses are paid in addition to limits; the $25M Beacon excess layer attaches above the primary. The recommended settlement range is within the primary layer. Punitive-damages coverage remains unresolved and should be evaluated separately. The existence of a $35M tower does not set the value of the claims and should not be used as a negotiating rationale.</w:t>
      </w:r>
    </w:p>
    <w:p>
      <w:pPr>
        <w:pStyle w:val="Heading1"/>
        <w:keepNext/>
      </w:pPr>
      <w:r>
        <w:t>5. Reserve, Business Considerations, and Pre-Mediation Work</w:t>
      </w:r>
    </w:p>
    <w:p>
      <w:pPr>
        <w:spacing w:after="100" w:before="0" w:line="254" w:lineRule="auto"/>
      </w:pPr>
      <w:r>
        <w:rPr>
          <w:i w:val="0"/>
        </w:rPr>
        <w:t>Reserve: the current $3.2M reserve is below the recommended settlement target and close to the rough expected-value floor before adding variance risk. Recommend that Finance and coverage counsel reassess it promptly and consider increasing the gross indemnity reserve to approximately $4.0–$4.5M (midpoint $4.25M), with insurance recoveries and any potentially uninsured punitive exposure analyzed separately under the Company’s accounting policies. The reserve is not settlement authority and does not cap exposure.</w:t>
      </w:r>
    </w:p>
    <w:tbl>
      <w:tblPr>
        <w:tblW w:type="auto" w:w="0"/>
        <w:jc w:val="center"/>
        <w:tblLayout w:type="fixed"/>
        <w:tblLook w:firstColumn="1" w:firstRow="1" w:lastColumn="0" w:lastRow="0" w:noHBand="0" w:noVBand="1" w:val="04A0"/>
      </w:tblPr>
      <w:tblGrid>
        <w:gridCol w:w="9994"/>
      </w:tblGrid>
      <w:tr>
        <w:tc>
          <w:tcPr>
            <w:tcW w:type="dxa" w:w="9994"/>
            <w:shd w:fill="FCEFEF"/>
            <w:tcMar>
              <w:top w:w="140" w:type="dxa"/>
              <w:start w:w="180" w:type="dxa"/>
              <w:bottom w:w="140" w:type="dxa"/>
              <w:end w:w="180" w:type="dxa"/>
            </w:tcMar>
          </w:tcPr>
          <w:p>
            <w:pPr>
              <w:spacing w:after="80"/>
            </w:pPr>
            <w:r/>
            <w:r>
              <w:rPr>
                <w:rFonts w:ascii="Aptos Display" w:hAnsi="Aptos Display"/>
                <w:b/>
                <w:color w:val="17365D"/>
                <w:sz w:val="21"/>
              </w:rPr>
              <w:t>STRICTLY INTERNAL — DO NOT DISCLOSE</w:t>
            </w:r>
          </w:p>
          <w:p>
            <w:pPr>
              <w:spacing w:after="0" w:line="252" w:lineRule="auto"/>
            </w:pPr>
            <w:r>
              <w:rPr>
                <w:rFonts w:ascii="Aptos" w:hAnsi="Aptos"/>
                <w:sz w:val="19"/>
              </w:rPr>
              <w:t>The separate privileged coverage memorandum identifies the prospective $60M Halcyon Construction Group contract and management’s concern about public trial developments. Treat this only as a confidential business-timing factor in deciding whether to use available authority within the merits range. Do not mention the contract, the Board’s preference to settle before trial, or settlement capacity in the mediation room, offer letters, or communications with plaintiffs. Do not allow this factor to inflate the merits valuation or create an avoidable bargaining signal.</w:t>
            </w:r>
          </w:p>
        </w:tc>
      </w:tr>
    </w:tbl>
    <w:p>
      <w:pPr>
        <w:spacing w:after="20"/>
      </w:pPr>
    </w:p>
    <w:p>
      <w:pPr>
        <w:pStyle w:val="Heading2"/>
        <w:keepNext/>
      </w:pPr>
      <w:r>
        <w:t>Before March 14</w:t>
      </w:r>
    </w:p>
    <w:p>
      <w:pPr>
        <w:pStyle w:val="ListBullet"/>
        <w:spacing w:after="60" w:line="247" w:lineRule="auto"/>
      </w:pPr>
      <w:r>
        <w:t>Confirm the actual docket, court division, assigned trial judge, trial date, mediation details, and current rulings. The briefs and expert reports conflict on division and judge; the mediator’s name should not be confused with the trial judge.</w:t>
      </w:r>
    </w:p>
    <w:p>
      <w:pPr>
        <w:pStyle w:val="ListBullet"/>
        <w:spacing w:after="60" w:line="247" w:lineRule="auto"/>
      </w:pPr>
      <w:r>
        <w:t>Reconcile the plaintiff engineering expert’s identity: the actual report supplied is Dr. Anita Vasquez’s, while the case-summary spreadsheet refers to Dr. Randall Fiske. Confirm the pending Daubert motion targets the correct witness and opinion. Review both engineering experts’ final reports, supplements, depositions, and test data.</w:t>
      </w:r>
    </w:p>
    <w:p>
      <w:pPr>
        <w:pStyle w:val="ListBullet"/>
        <w:spacing w:after="60" w:line="247" w:lineRule="auto"/>
      </w:pPr>
      <w:r>
        <w:t>Correct document inconsistencies affecting credibility or cross-examination: press capacity is described as 100 tons and 75 tons; Holt’s press experience is described as roughly 14 months and about two years; Briggs deposition dates vary; Holt’s union local and employment history vary. Confirm against original records rather than repeating a brief’s assertion.</w:t>
      </w:r>
    </w:p>
    <w:p>
      <w:pPr>
        <w:pStyle w:val="ListBullet"/>
        <w:spacing w:after="60" w:line="247" w:lineRule="auto"/>
      </w:pPr>
      <w:r>
        <w:t>Reconcile Aldrich/Cho report dates and Cho’s fringe-benefit present-value arithmetic; secure a current life-care estimate, vocational status, lien ledger, and lien compromise authority. Verify the actual contents and dates of the 2019 emails and the seven field reports.</w:t>
      </w:r>
    </w:p>
    <w:p>
      <w:pPr>
        <w:pStyle w:val="ListBullet"/>
        <w:spacing w:after="60" w:line="247" w:lineRule="auto"/>
      </w:pPr>
      <w:r>
        <w:t>Obtain a focused Ohio-law update on the catastrophic-injury cap exception, any cap applicable to consortium, fault allocation to Apex in light of workers’ compensation immunity, comparative-fault effect, subsequent-remedial-measure evidence, punitive-damages limits, and punitive coverage. Avoid stating the $350,000 cap as settled law for Holt.</w:t>
      </w:r>
    </w:p>
    <w:p>
      <w:pPr>
        <w:pStyle w:val="Heading1"/>
        <w:keepNext/>
      </w:pPr>
      <w:r>
        <w:t>Conclusion</w:t>
      </w:r>
    </w:p>
    <w:p>
      <w:pPr>
        <w:spacing w:after="100" w:before="0" w:line="254" w:lineRule="auto"/>
      </w:pPr>
      <w:r>
        <w:rPr>
          <w:i w:val="0"/>
        </w:rPr>
        <w:t>Greenfield has a credible path to a defense verdict because Apex’s guard modification is stark and the OEM-guard access question is factually decisive. But the record is not a routine modification case: the press’s unexpected cycling is undisputed, Greenfield’s own engineering leadership documented the hazard and delayed the proposed fix, and the injury is catastrophic. The $350,000 non-economic cap is not a safe valuation assumption for an amputation. A $3.5–$5.5 million global range, with a $4.25–$4.75 million target and $1.8 million opening offer, appropriately balances the defense path against comparative-liability, punitive, and jury-variance risks. Keep the lien and coverage mechanics separate from merits valuation, reconcile the record conflicts, and reserve any authority above $5.5 million to the Committee.</w:t>
      </w:r>
    </w:p>
    <w:sectPr w:rsidR="00FC693F" w:rsidRPr="0006063C" w:rsidSect="00034616">
      <w:headerReference w:type="default" r:id="rId9"/>
      <w:footerReference w:type="default" r:id="rId10"/>
      <w:pgSz w:w="12240" w:h="15840"/>
      <w:pgMar w:top="893"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color w:val="802828"/>
        <w:sz w:val="15"/>
      </w:rPr>
      <w:t xml:space="preserve">ATTORNEY-CLIENT PRIVILEGED  •  ATTORNEY WORK PRODUCT  •  DO NOT DISTRIBUTE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96675"/>
        <w:sz w:val="16"/>
      </w:rPr>
      <w:t>HOLT v. GREENFIELD  |  PRIVILEGED SETTLEMENT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327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527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45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val="0"/>
      <w:i/>
      <w:iCs/>
      <w:color w:val="52657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Pre-Mediation Settlement Valuation Memorandum — Holt v. Greenfield</dc:title>
  <dc:subject>Privileged settlement valuation and mediation strategy</dc:subject>
  <dc:creator>Hargrove, Foss &amp; Delaney LLP</dc:creator>
  <cp:keywords>Privileged; attorney work product; mediation; settlement valuation</cp:keywords>
  <dc:description>generated by python-docx</dc:description>
  <cp:lastModifiedBy/>
  <cp:revision>1</cp:revision>
  <dcterms:created xsi:type="dcterms:W3CDTF">2013-12-23T23:15:00Z</dcterms:created>
  <dcterms:modified xsi:type="dcterms:W3CDTF">2013-12-23T23:15:00Z</dcterms:modified>
  <cp:category/>
</cp:coreProperties>
</file>